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1B2" w:rsidRDefault="00E461B2" w:rsidP="0040511E">
      <w:pPr>
        <w:pStyle w:val="Titre1"/>
      </w:pPr>
      <w:r>
        <w:t>Le modèle conceptuel de traitement</w:t>
      </w:r>
    </w:p>
    <w:p w:rsidR="00E461B2" w:rsidRDefault="00E461B2" w:rsidP="00E461B2">
      <w:proofErr w:type="gramStart"/>
      <w:r w:rsidRPr="00E461B2">
        <w:t>le</w:t>
      </w:r>
      <w:proofErr w:type="gramEnd"/>
      <w:r w:rsidRPr="00E461B2">
        <w:t xml:space="preserve">  modèle conceptuel des traitements </w:t>
      </w:r>
      <w:r>
        <w:t>d</w:t>
      </w:r>
      <w:bookmarkStart w:id="0" w:name="_GoBack"/>
      <w:bookmarkEnd w:id="0"/>
      <w:r>
        <w:t>éfinit</w:t>
      </w:r>
      <w:r w:rsidRPr="00E461B2">
        <w:t xml:space="preserve"> l’ordonnancement des actes de gestion de l’organisation  indépendamment de la répartition des tâches dans la structure organisationnelle et entre l’homme et la machine</w:t>
      </w:r>
      <w:r>
        <w:t>.</w:t>
      </w:r>
    </w:p>
    <w:p w:rsidR="00E461B2" w:rsidRPr="00E461B2" w:rsidRDefault="00E461B2" w:rsidP="00E461B2">
      <w:r w:rsidRPr="00E461B2">
        <w:t>Le MCT va montrer comment les acteurs de l’organisation réagissent aux messages reçus en termes d’opérations réalisées</w:t>
      </w:r>
    </w:p>
    <w:p w:rsidR="00E461B2" w:rsidRDefault="00E461B2" w:rsidP="00E461B2">
      <w:pPr>
        <w:pStyle w:val="Titre1"/>
        <w:jc w:val="center"/>
      </w:pPr>
      <w:r w:rsidRPr="00E461B2">
        <w:drawing>
          <wp:inline distT="0" distB="0" distL="0" distR="0" wp14:anchorId="6383829F" wp14:editId="47370BF1">
            <wp:extent cx="3867811" cy="1907533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654" cy="1907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1B2" w:rsidRDefault="00E461B2" w:rsidP="00E461B2">
      <w:pPr>
        <w:pStyle w:val="Titre1"/>
      </w:pPr>
      <w:r>
        <w:t>Evénement</w:t>
      </w:r>
    </w:p>
    <w:p w:rsidR="00E461B2" w:rsidRDefault="00E461B2" w:rsidP="00E461B2">
      <w:r>
        <w:t xml:space="preserve">Un </w:t>
      </w:r>
      <w:r w:rsidRPr="00E461B2">
        <w:rPr>
          <w:b/>
          <w:bCs/>
        </w:rPr>
        <w:t>événement</w:t>
      </w:r>
      <w:r>
        <w:t xml:space="preserve"> est un </w:t>
      </w:r>
      <w:r w:rsidRPr="00E461B2">
        <w:rPr>
          <w:b/>
          <w:bCs/>
        </w:rPr>
        <w:t>fait nouveau</w:t>
      </w:r>
      <w:r>
        <w:t xml:space="preserve"> pour le système d’information qui agit comme un </w:t>
      </w:r>
      <w:r w:rsidRPr="00E461B2">
        <w:rPr>
          <w:b/>
          <w:bCs/>
        </w:rPr>
        <w:t>stimulus</w:t>
      </w:r>
      <w:r>
        <w:t xml:space="preserve"> et qui peut être à l’origine du </w:t>
      </w:r>
      <w:r w:rsidRPr="00E461B2">
        <w:rPr>
          <w:b/>
          <w:bCs/>
        </w:rPr>
        <w:t>déclenchement d’opérations</w:t>
      </w:r>
      <w:r>
        <w:t xml:space="preserve">. </w:t>
      </w:r>
      <w:r>
        <w:t>(Voir aussi Résultat)</w:t>
      </w:r>
    </w:p>
    <w:p w:rsidR="00E461B2" w:rsidRDefault="00E461B2" w:rsidP="00E461B2">
      <w:r>
        <w:t>Tout flux entrant dans le domaine d’étude est un évènement qui peut déclencher une réaction d’une opération conceptuelle du domaine.</w:t>
      </w:r>
    </w:p>
    <w:p w:rsidR="00E461B2" w:rsidRDefault="00E461B2" w:rsidP="00E461B2">
      <w:r>
        <w:t xml:space="preserve">Les évènements déclencheurs peuvent être également </w:t>
      </w:r>
    </w:p>
    <w:p w:rsidR="00E461B2" w:rsidRDefault="00E461B2" w:rsidP="00E461B2">
      <w:pPr>
        <w:pStyle w:val="Paragraphedeliste"/>
        <w:numPr>
          <w:ilvl w:val="0"/>
          <w:numId w:val="28"/>
        </w:numPr>
      </w:pPr>
      <w:r>
        <w:t>temporels : une heure de la journée, une certaine date du mois (le 1er ou le dernier jour du mois), une échéance, etc.</w:t>
      </w:r>
    </w:p>
    <w:p w:rsidR="00E461B2" w:rsidRDefault="00E461B2" w:rsidP="00E461B2">
      <w:pPr>
        <w:pStyle w:val="Paragraphedeliste"/>
        <w:numPr>
          <w:ilvl w:val="0"/>
          <w:numId w:val="28"/>
        </w:numPr>
      </w:pPr>
      <w:r>
        <w:t>issus de décisions du SI décisionnel</w:t>
      </w:r>
    </w:p>
    <w:p w:rsidR="00E461B2" w:rsidRDefault="00E461B2" w:rsidP="00E461B2">
      <w:pPr>
        <w:pStyle w:val="Paragraphedeliste"/>
        <w:numPr>
          <w:ilvl w:val="0"/>
          <w:numId w:val="28"/>
        </w:numPr>
      </w:pPr>
      <w:r>
        <w:t>issus de l’état particulier d’un objet du SI : commande au statut bloqué, client au statut prospect, etc.</w:t>
      </w:r>
    </w:p>
    <w:p w:rsidR="00E461B2" w:rsidRDefault="00E461B2" w:rsidP="00E461B2">
      <w:r>
        <w:t>Un évènement peut également être le résultat d’une opération : par exemple, l’opération «  préparation d’un colis » peut avoir comme résultat « colis à expédier », ce dernier pouvant être utilisé comme déclencheur d’une opération « expédier ».</w:t>
      </w:r>
    </w:p>
    <w:p w:rsidR="00E461B2" w:rsidRPr="00E461B2" w:rsidRDefault="00E461B2" w:rsidP="00E461B2">
      <w:r>
        <w:t>Un autre exemple : « une facture vient d’arriver » est un évènement ; un document « Facture » y est associé, et ce document comporte un message (les informations qu’il comporte)</w:t>
      </w:r>
    </w:p>
    <w:p w:rsidR="00E461B2" w:rsidRDefault="00E461B2" w:rsidP="0040511E">
      <w:pPr>
        <w:pStyle w:val="Titre1"/>
      </w:pPr>
      <w:r w:rsidRPr="00E461B2">
        <w:t>Opération conceptuelle</w:t>
      </w:r>
    </w:p>
    <w:p w:rsidR="00E461B2" w:rsidRDefault="00E461B2" w:rsidP="00E461B2">
      <w:pPr>
        <w:rPr>
          <w:b/>
          <w:bCs/>
        </w:rPr>
      </w:pPr>
      <w:r>
        <w:t xml:space="preserve">Une opération conceptuelle est un ensemble d’actions pouvant se dérouler sans attendre d’événement complémentaire. </w:t>
      </w:r>
      <w:r>
        <w:t xml:space="preserve">Une opération est donc </w:t>
      </w:r>
      <w:r w:rsidRPr="00E461B2">
        <w:rPr>
          <w:b/>
          <w:bCs/>
        </w:rPr>
        <w:t>non interruptible</w:t>
      </w:r>
      <w:r>
        <w:rPr>
          <w:b/>
          <w:bCs/>
        </w:rPr>
        <w:t>.</w:t>
      </w:r>
    </w:p>
    <w:p w:rsidR="00E461B2" w:rsidRDefault="00E461B2" w:rsidP="00E461B2">
      <w:r>
        <w:t xml:space="preserve">Une opération peut être déclenchée par un évènement unique, ou un ensemble d’évènements synchronisés. </w:t>
      </w:r>
    </w:p>
    <w:p w:rsidR="00E461B2" w:rsidRDefault="00E461B2" w:rsidP="00E461B2">
      <w:r>
        <w:t>Au sein d’une opération, les actions peuvent se dérouler de manière non linéaire ou conditionnelle.</w:t>
      </w:r>
    </w:p>
    <w:p w:rsidR="00E461B2" w:rsidRPr="00E461B2" w:rsidRDefault="00E461B2" w:rsidP="00E461B2">
      <w:r>
        <w:t>Exemples d’actions élémentaires : vérifier client, vérifier les encours du client, vérifier la disponibilité des articles,</w:t>
      </w:r>
    </w:p>
    <w:p w:rsidR="00E461B2" w:rsidRDefault="00E461B2" w:rsidP="0040511E">
      <w:pPr>
        <w:pStyle w:val="Titre1"/>
      </w:pPr>
      <w:r>
        <w:lastRenderedPageBreak/>
        <w:t>Résultat</w:t>
      </w:r>
    </w:p>
    <w:p w:rsidR="00E461B2" w:rsidRDefault="00E461B2" w:rsidP="00E461B2">
      <w:r>
        <w:t xml:space="preserve">Un </w:t>
      </w:r>
      <w:r w:rsidRPr="00E461B2">
        <w:rPr>
          <w:b/>
          <w:bCs/>
        </w:rPr>
        <w:t>résultat</w:t>
      </w:r>
      <w:r>
        <w:t xml:space="preserve">  représente une </w:t>
      </w:r>
      <w:r w:rsidRPr="00E461B2">
        <w:rPr>
          <w:b/>
          <w:bCs/>
        </w:rPr>
        <w:t>réponse</w:t>
      </w:r>
      <w:r>
        <w:t xml:space="preserve"> du S.I. </w:t>
      </w:r>
      <w:r w:rsidRPr="00E461B2">
        <w:rPr>
          <w:b/>
          <w:bCs/>
        </w:rPr>
        <w:t>à un événement</w:t>
      </w:r>
      <w:r>
        <w:rPr>
          <w:b/>
          <w:bCs/>
        </w:rPr>
        <w:t>,</w:t>
      </w:r>
      <w:r>
        <w:t xml:space="preserve"> </w:t>
      </w:r>
      <w:proofErr w:type="gramStart"/>
      <w:r w:rsidRPr="00E461B2">
        <w:rPr>
          <w:b/>
          <w:bCs/>
        </w:rPr>
        <w:t>produite</w:t>
      </w:r>
      <w:proofErr w:type="gramEnd"/>
      <w:r w:rsidRPr="00E461B2">
        <w:rPr>
          <w:b/>
          <w:bCs/>
        </w:rPr>
        <w:t xml:space="preserve"> par une opération</w:t>
      </w:r>
      <w:r>
        <w:t>.</w:t>
      </w:r>
    </w:p>
    <w:p w:rsidR="00E461B2" w:rsidRDefault="00E461B2" w:rsidP="00E461B2">
      <w:r>
        <w:t>Le résultat d’une opération peut participer en tant qu’événement au déclenchement d’une autre opération</w:t>
      </w:r>
    </w:p>
    <w:p w:rsidR="00E461B2" w:rsidRDefault="00E461B2" w:rsidP="00E461B2">
      <w:r w:rsidRPr="00E461B2">
        <w:t>Les résultats seront parfois exprimés de manière simple : OK, si l’opération s’est déroulée correctement, non OK, dans le cas contraire.</w:t>
      </w:r>
    </w:p>
    <w:p w:rsidR="00E461B2" w:rsidRDefault="00E461B2" w:rsidP="00E461B2">
      <w:pPr>
        <w:pStyle w:val="Titre1"/>
      </w:pPr>
      <w:r>
        <w:t>Synchronisation</w:t>
      </w:r>
    </w:p>
    <w:p w:rsidR="00E461B2" w:rsidRDefault="00E461B2" w:rsidP="00E461B2">
      <w:r>
        <w:t>U</w:t>
      </w:r>
      <w:r w:rsidRPr="00E461B2">
        <w:t xml:space="preserve">ne </w:t>
      </w:r>
      <w:r w:rsidRPr="00E461B2">
        <w:rPr>
          <w:b/>
          <w:bCs/>
        </w:rPr>
        <w:t>synchronisation</w:t>
      </w:r>
      <w:r w:rsidRPr="00E461B2">
        <w:t xml:space="preserve"> spécifie les </w:t>
      </w:r>
      <w:r w:rsidRPr="00E461B2">
        <w:rPr>
          <w:b/>
          <w:bCs/>
        </w:rPr>
        <w:t>conditions de déclenchement</w:t>
      </w:r>
      <w:r w:rsidRPr="00E461B2">
        <w:t xml:space="preserve"> d’une opération.</w:t>
      </w:r>
    </w:p>
    <w:p w:rsidR="00670822" w:rsidRDefault="00670822" w:rsidP="00670822">
      <w:r>
        <w:t xml:space="preserve">Les conditions sont exprimées par la présence d’occurrences d’évènements. Tant que </w:t>
      </w:r>
      <w:r>
        <w:t>la condition</w:t>
      </w:r>
      <w:r>
        <w:t xml:space="preserve"> </w:t>
      </w:r>
      <w:r>
        <w:t>n'est pas remplie</w:t>
      </w:r>
      <w:r>
        <w:t>, l’opération est en attente.</w:t>
      </w:r>
    </w:p>
    <w:p w:rsidR="00670822" w:rsidRDefault="00670822" w:rsidP="00670822">
      <w:r>
        <w:t>Exemple : Paiement effectué ET (facture émise OU commande confirmée)</w:t>
      </w:r>
    </w:p>
    <w:p w:rsidR="00670822" w:rsidRDefault="00670822" w:rsidP="00670822">
      <w:pPr>
        <w:pStyle w:val="Titre1"/>
      </w:pPr>
      <w:r>
        <w:t>Règles d'émission</w:t>
      </w:r>
    </w:p>
    <w:p w:rsidR="00670822" w:rsidRDefault="00670822" w:rsidP="00670822">
      <w:r>
        <w:t xml:space="preserve">Les règles d’émission, ou conditions d’émission, sont construites en fonction du déroulement d’une opération conceptuelle. Elles seront testées une fois que le traitement associe a l’opération sera </w:t>
      </w:r>
      <w:proofErr w:type="spellStart"/>
      <w:r>
        <w:t>termine</w:t>
      </w:r>
      <w:proofErr w:type="spellEnd"/>
      <w:r>
        <w:t xml:space="preserve">. </w:t>
      </w:r>
    </w:p>
    <w:p w:rsidR="00670822" w:rsidRDefault="00670822" w:rsidP="00670822">
      <w:r>
        <w:t xml:space="preserve">Elles </w:t>
      </w:r>
      <w:r w:rsidRPr="000031D4">
        <w:rPr>
          <w:b/>
          <w:bCs/>
        </w:rPr>
        <w:t>déterminent la production  des résultats d’une opération</w:t>
      </w:r>
      <w:r>
        <w:t>.</w:t>
      </w:r>
    </w:p>
    <w:p w:rsidR="00670822" w:rsidRDefault="00670822" w:rsidP="00670822">
      <w:r>
        <w:t xml:space="preserve">Les règles doivent être </w:t>
      </w:r>
      <w:r w:rsidRPr="00670822">
        <w:rPr>
          <w:b/>
          <w:bCs/>
        </w:rPr>
        <w:t>mutuellement exclusives</w:t>
      </w:r>
      <w:r>
        <w:t xml:space="preserve"> (elles ne peuvent être vraies en même temps) et doivent couvrir tous les cas possibles.</w:t>
      </w:r>
      <w:r w:rsidR="005B5940">
        <w:t xml:space="preserve"> </w:t>
      </w:r>
      <w:r w:rsidR="005B5940" w:rsidRPr="005B5940">
        <w:t>Les conditions doivent être exclusives : il n’y a pas plusieurs possibilités de sortie simultanées</w:t>
      </w:r>
      <w:r w:rsidR="005B5940">
        <w:t>.</w:t>
      </w:r>
    </w:p>
    <w:p w:rsidR="005B5940" w:rsidRDefault="005B5940" w:rsidP="005B5940">
      <w:pPr>
        <w:pStyle w:val="Titre1"/>
      </w:pPr>
      <w:r>
        <w:t>Représentation</w:t>
      </w:r>
      <w:r w:rsidR="001C0192">
        <w:t xml:space="preserve"> d'une opération </w:t>
      </w:r>
    </w:p>
    <w:p w:rsidR="005B5940" w:rsidRPr="00E461B2" w:rsidRDefault="005B5940" w:rsidP="005B5940">
      <w:pPr>
        <w:jc w:val="center"/>
      </w:pPr>
      <w:r w:rsidRPr="005B5940">
        <w:drawing>
          <wp:inline distT="0" distB="0" distL="0" distR="0" wp14:anchorId="450D54DF" wp14:editId="2B7DD212">
            <wp:extent cx="4269089" cy="414997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337" cy="415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14D" w:rsidRDefault="00B0514D" w:rsidP="0040511E">
      <w:pPr>
        <w:pStyle w:val="Titre1"/>
      </w:pPr>
      <w:r>
        <w:lastRenderedPageBreak/>
        <w:t>Processus ou activité</w:t>
      </w:r>
    </w:p>
    <w:p w:rsidR="00B0514D" w:rsidRDefault="00B0514D" w:rsidP="00B0514D">
      <w:proofErr w:type="gramStart"/>
      <w:r>
        <w:t>un</w:t>
      </w:r>
      <w:proofErr w:type="gramEnd"/>
      <w:r>
        <w:t xml:space="preserve"> </w:t>
      </w:r>
      <w:r w:rsidRPr="00B0514D">
        <w:rPr>
          <w:b/>
          <w:bCs/>
        </w:rPr>
        <w:t>processus</w:t>
      </w:r>
      <w:r>
        <w:t xml:space="preserve"> est un </w:t>
      </w:r>
      <w:r w:rsidRPr="00B0514D">
        <w:rPr>
          <w:b/>
          <w:bCs/>
        </w:rPr>
        <w:t>ensemble synchronise d'opérations</w:t>
      </w:r>
      <w:r>
        <w:t xml:space="preserve"> conceptuelles ayant une même finalité.</w:t>
      </w:r>
    </w:p>
    <w:p w:rsidR="00B0514D" w:rsidRPr="00B0514D" w:rsidRDefault="00B0514D" w:rsidP="00B0514D">
      <w:r w:rsidRPr="00B0514D">
        <w:t>Exemples : gestion des commandes clients (de la prise en compte de la commande à sa livraison), gestion des règlements clients, gestion de l’approvisionnement, inventaire, etc</w:t>
      </w:r>
      <w:r>
        <w:t>.</w:t>
      </w:r>
    </w:p>
    <w:p w:rsidR="0040511E" w:rsidRDefault="0040511E" w:rsidP="005B1719">
      <w:pPr>
        <w:pStyle w:val="Titre1"/>
      </w:pPr>
      <w:r>
        <w:t>Du Modèle de Flux</w:t>
      </w:r>
      <w:r w:rsidRPr="0040511E">
        <w:t xml:space="preserve"> </w:t>
      </w:r>
      <w:r>
        <w:t>Conceptuel</w:t>
      </w:r>
      <w:r w:rsidR="005B1719">
        <w:t xml:space="preserve"> au MCT</w:t>
      </w:r>
    </w:p>
    <w:p w:rsidR="005B1719" w:rsidRDefault="005B1719" w:rsidP="005B1719">
      <w:r>
        <w:t>Par affinages successifs, le MCF a mis en évidence des opérations conceptuelles. Le MCT récupère ces opérations et leur associe des évènements déclencheurs avec synchronisation et des résultats.</w:t>
      </w:r>
    </w:p>
    <w:p w:rsidR="005B1719" w:rsidRDefault="005B1719" w:rsidP="005B1719">
      <w:r>
        <w:t>Une fois le MCF élaboré :</w:t>
      </w:r>
    </w:p>
    <w:p w:rsidR="005B1719" w:rsidRDefault="005B1719" w:rsidP="005B1719">
      <w:pPr>
        <w:pStyle w:val="Paragraphedeliste"/>
        <w:numPr>
          <w:ilvl w:val="0"/>
          <w:numId w:val="32"/>
        </w:numPr>
      </w:pPr>
      <w:r>
        <w:t>Déterminer l’enchainement des flux</w:t>
      </w:r>
    </w:p>
    <w:p w:rsidR="005B1719" w:rsidRDefault="005B1719" w:rsidP="005B1719">
      <w:pPr>
        <w:pStyle w:val="Paragraphedeliste"/>
        <w:numPr>
          <w:ilvl w:val="0"/>
          <w:numId w:val="32"/>
        </w:numPr>
      </w:pPr>
      <w:r>
        <w:t>Identifier les grands processus</w:t>
      </w:r>
    </w:p>
    <w:p w:rsidR="005B1719" w:rsidRDefault="005B1719" w:rsidP="005B1719">
      <w:pPr>
        <w:pStyle w:val="Paragraphedeliste"/>
        <w:numPr>
          <w:ilvl w:val="0"/>
          <w:numId w:val="32"/>
        </w:numPr>
      </w:pPr>
      <w:r>
        <w:t>Construire le MCT</w:t>
      </w:r>
    </w:p>
    <w:p w:rsidR="005B1719" w:rsidRDefault="005B1719" w:rsidP="005B1719">
      <w:pPr>
        <w:pStyle w:val="Paragraphedeliste"/>
        <w:numPr>
          <w:ilvl w:val="1"/>
          <w:numId w:val="32"/>
        </w:numPr>
      </w:pPr>
      <w:r>
        <w:t>Déterminer les opérations en s’appuyant sur les évènements externes et sur le principe de non-interruption d’une opération</w:t>
      </w:r>
    </w:p>
    <w:p w:rsidR="005B1719" w:rsidRDefault="005B1719" w:rsidP="005B1719">
      <w:pPr>
        <w:pStyle w:val="Paragraphedeliste"/>
        <w:numPr>
          <w:ilvl w:val="1"/>
          <w:numId w:val="32"/>
        </w:numPr>
      </w:pPr>
      <w:r>
        <w:t>S’assurer de la non-redondance d’opérations</w:t>
      </w:r>
    </w:p>
    <w:p w:rsidR="005B1719" w:rsidRDefault="005B1719" w:rsidP="005B1719">
      <w:pPr>
        <w:pStyle w:val="Paragraphedeliste"/>
        <w:numPr>
          <w:ilvl w:val="1"/>
          <w:numId w:val="32"/>
        </w:numPr>
      </w:pPr>
      <w:r>
        <w:t xml:space="preserve">regrouper les successions d’opérations basées sur le déclenchement </w:t>
      </w:r>
    </w:p>
    <w:p w:rsidR="005B1719" w:rsidRDefault="005B1719" w:rsidP="005B1719">
      <w:pPr>
        <w:pStyle w:val="Paragraphedeliste"/>
        <w:numPr>
          <w:ilvl w:val="1"/>
          <w:numId w:val="32"/>
        </w:numPr>
      </w:pPr>
      <w:r>
        <w:t xml:space="preserve">S’assurer de la cinématique des processus : </w:t>
      </w:r>
    </w:p>
    <w:p w:rsidR="0040511E" w:rsidRDefault="005B1719" w:rsidP="005B1719">
      <w:pPr>
        <w:pStyle w:val="Paragraphedeliste"/>
        <w:numPr>
          <w:ilvl w:val="2"/>
          <w:numId w:val="32"/>
        </w:numPr>
      </w:pPr>
      <w:r>
        <w:t>les opérations s’enchainent généralement en utilisant les résultats d’autres opérations comme évènements : vérifier la « consommation » des évènements</w:t>
      </w:r>
    </w:p>
    <w:p w:rsidR="005B1719" w:rsidRDefault="005B1719" w:rsidP="005B1719">
      <w:pPr>
        <w:pStyle w:val="Paragraphedeliste"/>
        <w:numPr>
          <w:ilvl w:val="2"/>
          <w:numId w:val="32"/>
        </w:numPr>
      </w:pPr>
      <w:r w:rsidRPr="005B1719">
        <w:t>mais certaines opérations peuvent être isolées et sont déclenchées en tenant compte d’évènements extérieurs</w:t>
      </w:r>
    </w:p>
    <w:p w:rsidR="005B1719" w:rsidRDefault="004B2D15" w:rsidP="004B2D15">
      <w:pPr>
        <w:jc w:val="center"/>
      </w:pPr>
      <w:r w:rsidRPr="004B2D15">
        <w:drawing>
          <wp:inline distT="0" distB="0" distL="0" distR="0" wp14:anchorId="0A6909D5" wp14:editId="7AAADA30">
            <wp:extent cx="5542671" cy="4028300"/>
            <wp:effectExtent l="0" t="0" r="127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774" cy="402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D15" w:rsidRDefault="004B2D15" w:rsidP="004B2D15"/>
    <w:p w:rsidR="004B2D15" w:rsidRDefault="004B2D15" w:rsidP="004B2D15">
      <w:pPr>
        <w:pStyle w:val="Titre1"/>
      </w:pPr>
      <w:r>
        <w:lastRenderedPageBreak/>
        <w:t>Règles de vérification du MCT</w:t>
      </w:r>
    </w:p>
    <w:p w:rsidR="004B2D15" w:rsidRPr="004B2D15" w:rsidRDefault="004B2D15" w:rsidP="004B2D15">
      <w:pPr>
        <w:jc w:val="center"/>
        <w:rPr>
          <w:b/>
          <w:bCs/>
        </w:rPr>
      </w:pPr>
      <w:r w:rsidRPr="004B2D15">
        <w:rPr>
          <w:b/>
          <w:bCs/>
        </w:rPr>
        <w:t>Non interruption des opérations</w:t>
      </w:r>
    </w:p>
    <w:p w:rsidR="004B2D15" w:rsidRDefault="004B2D15" w:rsidP="004B2D15">
      <w:r w:rsidRPr="004B2D15"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240030</wp:posOffset>
            </wp:positionV>
            <wp:extent cx="3549015" cy="2123440"/>
            <wp:effectExtent l="0" t="0" r="0" b="0"/>
            <wp:wrapTight wrapText="bothSides">
              <wp:wrapPolygon edited="0">
                <wp:start x="3478" y="0"/>
                <wp:lineTo x="2667" y="581"/>
                <wp:lineTo x="1971" y="2132"/>
                <wp:lineTo x="2087" y="3682"/>
                <wp:lineTo x="4058" y="6201"/>
                <wp:lineTo x="4522" y="6201"/>
                <wp:lineTo x="3594" y="8139"/>
                <wp:lineTo x="348" y="9301"/>
                <wp:lineTo x="348" y="12208"/>
                <wp:lineTo x="3362" y="12402"/>
                <wp:lineTo x="3362" y="14533"/>
                <wp:lineTo x="4406" y="15502"/>
                <wp:lineTo x="6493" y="15502"/>
                <wp:lineTo x="5449" y="16278"/>
                <wp:lineTo x="4406" y="18022"/>
                <wp:lineTo x="4406" y="19378"/>
                <wp:lineTo x="5681" y="21316"/>
                <wp:lineTo x="6261" y="21316"/>
                <wp:lineTo x="7652" y="21316"/>
                <wp:lineTo x="8232" y="21316"/>
                <wp:lineTo x="9623" y="19378"/>
                <wp:lineTo x="9507" y="18603"/>
                <wp:lineTo x="18551" y="17053"/>
                <wp:lineTo x="18435" y="15696"/>
                <wp:lineTo x="12754" y="15502"/>
                <wp:lineTo x="20754" y="13565"/>
                <wp:lineTo x="20870" y="10464"/>
                <wp:lineTo x="18783" y="9689"/>
                <wp:lineTo x="19826" y="9108"/>
                <wp:lineTo x="19826" y="8139"/>
                <wp:lineTo x="9391" y="6201"/>
                <wp:lineTo x="7072" y="3100"/>
                <wp:lineTo x="7188" y="2325"/>
                <wp:lineTo x="6377" y="581"/>
                <wp:lineTo x="5565" y="0"/>
                <wp:lineTo x="3478" y="0"/>
              </wp:wrapPolygon>
            </wp:wrapTight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015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2D15">
        <w:t xml:space="preserve"> </w:t>
      </w:r>
      <w:r w:rsidRPr="004B2D15">
        <w:drawing>
          <wp:inline distT="0" distB="0" distL="0" distR="0" wp14:anchorId="276E4FAD" wp14:editId="4DF35B0A">
            <wp:extent cx="3221502" cy="2401396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354" cy="240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D15" w:rsidRPr="004B2D15" w:rsidRDefault="004B2D15" w:rsidP="004B2D15">
      <w:pPr>
        <w:jc w:val="center"/>
        <w:rPr>
          <w:b/>
          <w:bCs/>
        </w:rPr>
      </w:pPr>
      <w:r w:rsidRPr="004B2D15">
        <w:rPr>
          <w:b/>
          <w:bCs/>
        </w:rPr>
        <w:t>Consommation des évènements</w:t>
      </w:r>
    </w:p>
    <w:p w:rsidR="004B2D15" w:rsidRDefault="004B2D15" w:rsidP="004B2D15">
      <w:pPr>
        <w:jc w:val="center"/>
      </w:pPr>
      <w:r w:rsidRPr="004B2D15">
        <w:drawing>
          <wp:inline distT="0" distB="0" distL="0" distR="0" wp14:anchorId="6EBFA0D8" wp14:editId="488A6A97">
            <wp:extent cx="5838092" cy="3962382"/>
            <wp:effectExtent l="0" t="0" r="0" b="63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632" cy="396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D15" w:rsidRDefault="004B2D15" w:rsidP="004B2D15">
      <w:r>
        <w:br w:type="page"/>
      </w:r>
    </w:p>
    <w:p w:rsidR="004B2D15" w:rsidRPr="004B2D15" w:rsidRDefault="004B2D15" w:rsidP="004B2D15">
      <w:pPr>
        <w:jc w:val="center"/>
        <w:rPr>
          <w:b/>
          <w:bCs/>
        </w:rPr>
      </w:pPr>
      <w:r w:rsidRPr="004B2D15">
        <w:rPr>
          <w:b/>
          <w:bCs/>
        </w:rPr>
        <w:lastRenderedPageBreak/>
        <w:t>Simplification des enchainements</w:t>
      </w:r>
    </w:p>
    <w:p w:rsidR="004B2D15" w:rsidRDefault="004B2D15" w:rsidP="004B2D15">
      <w:pPr>
        <w:jc w:val="center"/>
      </w:pPr>
      <w:r w:rsidRPr="004B2D15">
        <w:drawing>
          <wp:inline distT="0" distB="0" distL="0" distR="0">
            <wp:extent cx="3359208" cy="3277773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263" cy="3277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D15" w:rsidRDefault="004B2D15" w:rsidP="004B2D15">
      <w:pPr>
        <w:pStyle w:val="Titre1"/>
      </w:pPr>
      <w:r>
        <w:t>Modèle Conceptuel de Traitement Analytique</w:t>
      </w:r>
    </w:p>
    <w:p w:rsidR="004B2D15" w:rsidRPr="004B2D15" w:rsidRDefault="004B2D15" w:rsidP="004B2D15">
      <w:proofErr w:type="gramStart"/>
      <w:r w:rsidRPr="004B2D15">
        <w:t>le</w:t>
      </w:r>
      <w:proofErr w:type="gramEnd"/>
      <w:r w:rsidRPr="004B2D15">
        <w:t xml:space="preserve">  modèle conceptuel des traitements analytique représente l’articulation entre les traitements et les données du </w:t>
      </w:r>
      <w:r>
        <w:t>SI (MCD)</w:t>
      </w:r>
      <w:r w:rsidRPr="004B2D15">
        <w:t>.</w:t>
      </w:r>
    </w:p>
    <w:p w:rsidR="004B2D15" w:rsidRDefault="004B2D15" w:rsidP="004B2D15">
      <w:r>
        <w:t>Les 4 actions possibles des traitements sur le</w:t>
      </w:r>
      <w:r>
        <w:t xml:space="preserve">s données sont les suivantes : </w:t>
      </w:r>
    </w:p>
    <w:p w:rsidR="004B2D15" w:rsidRDefault="004B2D15" w:rsidP="004B2D15">
      <w:pPr>
        <w:pStyle w:val="Paragraphedeliste"/>
        <w:numPr>
          <w:ilvl w:val="0"/>
          <w:numId w:val="34"/>
        </w:numPr>
      </w:pPr>
      <w:r>
        <w:t>La création ou ajout ou insertion de nouvelles occurrences (C)</w:t>
      </w:r>
    </w:p>
    <w:p w:rsidR="004B2D15" w:rsidRDefault="004B2D15" w:rsidP="004B2D15">
      <w:pPr>
        <w:pStyle w:val="Paragraphedeliste"/>
        <w:numPr>
          <w:ilvl w:val="0"/>
          <w:numId w:val="34"/>
        </w:numPr>
      </w:pPr>
      <w:r>
        <w:t>La modification ou mise à jour des valeurs de propriétés (M)</w:t>
      </w:r>
    </w:p>
    <w:p w:rsidR="004B2D15" w:rsidRDefault="004B2D15" w:rsidP="004B2D15">
      <w:pPr>
        <w:pStyle w:val="Paragraphedeliste"/>
        <w:numPr>
          <w:ilvl w:val="0"/>
          <w:numId w:val="34"/>
        </w:numPr>
      </w:pPr>
      <w:r>
        <w:t>La lecture ou consultation ou interrogation d’occurrences (L ou I)</w:t>
      </w:r>
    </w:p>
    <w:p w:rsidR="004B2D15" w:rsidRDefault="004B2D15" w:rsidP="004B2D15">
      <w:pPr>
        <w:pStyle w:val="Paragraphedeliste"/>
        <w:numPr>
          <w:ilvl w:val="0"/>
          <w:numId w:val="34"/>
        </w:numPr>
      </w:pPr>
      <w:r>
        <w:t>La suppression d’occurrences</w:t>
      </w:r>
      <w:r>
        <w:t xml:space="preserve"> (S)</w:t>
      </w:r>
    </w:p>
    <w:p w:rsidR="004B2D15" w:rsidRPr="004B2D15" w:rsidRDefault="004B2D15" w:rsidP="004B2D15">
      <w:pPr>
        <w:jc w:val="center"/>
      </w:pPr>
      <w:r w:rsidRPr="004B2D15">
        <w:drawing>
          <wp:inline distT="0" distB="0" distL="0" distR="0" wp14:anchorId="72DF9612" wp14:editId="068D37B7">
            <wp:extent cx="4930726" cy="3012040"/>
            <wp:effectExtent l="0" t="0" r="381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221" cy="301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2D15" w:rsidRPr="004B2D15" w:rsidSect="005B36B3">
      <w:headerReference w:type="default" r:id="rId17"/>
      <w:footerReference w:type="defaul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5440" w:rsidRDefault="00485440" w:rsidP="0078300A">
      <w:pPr>
        <w:spacing w:after="0" w:line="240" w:lineRule="auto"/>
      </w:pPr>
      <w:r>
        <w:separator/>
      </w:r>
    </w:p>
  </w:endnote>
  <w:endnote w:type="continuationSeparator" w:id="0">
    <w:p w:rsidR="00485440" w:rsidRDefault="00485440" w:rsidP="007830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51B1" w:rsidRDefault="00485440">
    <w:pPr>
      <w:pStyle w:val="Pieddepage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sdt>
      <w:sdtPr>
        <w:rPr>
          <w:rFonts w:asciiTheme="majorHAnsi" w:eastAsiaTheme="majorEastAsia" w:hAnsiTheme="majorHAnsi" w:cstheme="majorBidi"/>
        </w:rPr>
        <w:id w:val="76027555"/>
        <w:placeholder>
          <w:docPart w:val="6C39D3170B184770A099C3BE4425B29B"/>
        </w:placeholder>
        <w:temporary/>
        <w:showingPlcHdr/>
      </w:sdtPr>
      <w:sdtEndPr/>
      <w:sdtContent>
        <w:r w:rsidR="007751B1">
          <w:rPr>
            <w:rFonts w:asciiTheme="majorHAnsi" w:eastAsiaTheme="majorEastAsia" w:hAnsiTheme="majorHAnsi" w:cstheme="majorBidi"/>
          </w:rPr>
          <w:t>[Texte]</w:t>
        </w:r>
      </w:sdtContent>
    </w:sdt>
    <w:r w:rsidR="007751B1">
      <w:rPr>
        <w:rFonts w:asciiTheme="majorHAnsi" w:eastAsiaTheme="majorEastAsia" w:hAnsiTheme="majorHAnsi" w:cstheme="majorBidi"/>
      </w:rPr>
      <w:ptab w:relativeTo="margin" w:alignment="right" w:leader="none"/>
    </w:r>
    <w:r w:rsidR="007751B1">
      <w:rPr>
        <w:rFonts w:asciiTheme="majorHAnsi" w:eastAsiaTheme="majorEastAsia" w:hAnsiTheme="majorHAnsi" w:cstheme="majorBidi"/>
      </w:rPr>
      <w:t xml:space="preserve">Page </w:t>
    </w:r>
    <w:r w:rsidR="007751B1">
      <w:rPr>
        <w:rFonts w:eastAsiaTheme="minorEastAsia"/>
      </w:rPr>
      <w:fldChar w:fldCharType="begin"/>
    </w:r>
    <w:r w:rsidR="007751B1">
      <w:instrText>PAGE   \* MERGEFORMAT</w:instrText>
    </w:r>
    <w:r w:rsidR="007751B1">
      <w:rPr>
        <w:rFonts w:eastAsiaTheme="minorEastAsia"/>
      </w:rPr>
      <w:fldChar w:fldCharType="separate"/>
    </w:r>
    <w:r w:rsidR="00317A39" w:rsidRPr="00317A39">
      <w:rPr>
        <w:rFonts w:asciiTheme="majorHAnsi" w:eastAsiaTheme="majorEastAsia" w:hAnsiTheme="majorHAnsi" w:cstheme="majorBidi"/>
        <w:noProof/>
      </w:rPr>
      <w:t>4</w:t>
    </w:r>
    <w:r w:rsidR="007751B1">
      <w:rPr>
        <w:rFonts w:asciiTheme="majorHAnsi" w:eastAsiaTheme="majorEastAsia" w:hAnsiTheme="majorHAnsi" w:cstheme="majorBidi"/>
      </w:rPr>
      <w:fldChar w:fldCharType="end"/>
    </w:r>
  </w:p>
  <w:p w:rsidR="007751B1" w:rsidRDefault="007751B1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5440" w:rsidRDefault="00485440" w:rsidP="0078300A">
      <w:pPr>
        <w:spacing w:after="0" w:line="240" w:lineRule="auto"/>
      </w:pPr>
      <w:r>
        <w:separator/>
      </w:r>
    </w:p>
  </w:footnote>
  <w:footnote w:type="continuationSeparator" w:id="0">
    <w:p w:rsidR="00485440" w:rsidRDefault="00485440" w:rsidP="007830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0BE" w:rsidRPr="0078300A" w:rsidRDefault="00AB089C" w:rsidP="00C6013C">
    <w:pPr>
      <w:pStyle w:val="En-tte"/>
      <w:rPr>
        <w:sz w:val="40"/>
        <w:szCs w:val="40"/>
      </w:rPr>
    </w:pPr>
    <w:r>
      <w:rPr>
        <w:sz w:val="40"/>
        <w:szCs w:val="40"/>
      </w:rPr>
      <w:t xml:space="preserve">Analyse SI </w:t>
    </w:r>
    <w:r w:rsidR="0078300A" w:rsidRPr="0078300A">
      <w:rPr>
        <w:sz w:val="40"/>
        <w:szCs w:val="40"/>
      </w:rPr>
      <w:t xml:space="preserve"> – FICHE </w:t>
    </w:r>
    <w:r w:rsidR="00C6013C">
      <w:rPr>
        <w:sz w:val="40"/>
        <w:szCs w:val="40"/>
      </w:rPr>
      <w:t>13</w:t>
    </w:r>
    <w:r w:rsidR="009D21C9">
      <w:rPr>
        <w:sz w:val="40"/>
        <w:szCs w:val="40"/>
      </w:rPr>
      <w:tab/>
    </w:r>
    <w:r w:rsidR="00F4496D">
      <w:rPr>
        <w:sz w:val="40"/>
        <w:szCs w:val="40"/>
      </w:rPr>
      <w:tab/>
    </w:r>
    <w:r w:rsidR="007E1910">
      <w:rPr>
        <w:sz w:val="40"/>
        <w:szCs w:val="40"/>
      </w:rPr>
      <w:t xml:space="preserve">Modèle Conceptuel de </w:t>
    </w:r>
    <w:r w:rsidR="00E461B2">
      <w:rPr>
        <w:sz w:val="40"/>
        <w:szCs w:val="40"/>
      </w:rPr>
      <w:t>Traitement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5612A"/>
    <w:multiLevelType w:val="hybridMultilevel"/>
    <w:tmpl w:val="990CD29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AE4C1B"/>
    <w:multiLevelType w:val="hybridMultilevel"/>
    <w:tmpl w:val="E99229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FC29C2"/>
    <w:multiLevelType w:val="hybridMultilevel"/>
    <w:tmpl w:val="D8D855FC"/>
    <w:lvl w:ilvl="0" w:tplc="D6844444">
      <w:numFmt w:val="bullet"/>
      <w:lvlText w:val="•"/>
      <w:lvlJc w:val="left"/>
      <w:pPr>
        <w:ind w:left="1068" w:hanging="708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E6133C"/>
    <w:multiLevelType w:val="hybridMultilevel"/>
    <w:tmpl w:val="2446184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753C76"/>
    <w:multiLevelType w:val="hybridMultilevel"/>
    <w:tmpl w:val="9CCA7F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42707F"/>
    <w:multiLevelType w:val="hybridMultilevel"/>
    <w:tmpl w:val="315046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7D60E1"/>
    <w:multiLevelType w:val="hybridMultilevel"/>
    <w:tmpl w:val="DEE8059A"/>
    <w:lvl w:ilvl="0" w:tplc="D6844444">
      <w:numFmt w:val="bullet"/>
      <w:lvlText w:val="•"/>
      <w:lvlJc w:val="left"/>
      <w:pPr>
        <w:ind w:left="1068" w:hanging="708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EB3839"/>
    <w:multiLevelType w:val="hybridMultilevel"/>
    <w:tmpl w:val="47A856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7451B4"/>
    <w:multiLevelType w:val="hybridMultilevel"/>
    <w:tmpl w:val="7DC0D2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EC73AE"/>
    <w:multiLevelType w:val="hybridMultilevel"/>
    <w:tmpl w:val="37042174"/>
    <w:lvl w:ilvl="0" w:tplc="D6844444">
      <w:numFmt w:val="bullet"/>
      <w:lvlText w:val="•"/>
      <w:lvlJc w:val="left"/>
      <w:pPr>
        <w:ind w:left="1068" w:hanging="708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CC790B"/>
    <w:multiLevelType w:val="hybridMultilevel"/>
    <w:tmpl w:val="B6349B6A"/>
    <w:lvl w:ilvl="0" w:tplc="D6844444">
      <w:numFmt w:val="bullet"/>
      <w:lvlText w:val="•"/>
      <w:lvlJc w:val="left"/>
      <w:pPr>
        <w:ind w:left="1068" w:hanging="708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7D2871"/>
    <w:multiLevelType w:val="hybridMultilevel"/>
    <w:tmpl w:val="79F8847C"/>
    <w:lvl w:ilvl="0" w:tplc="D6844444">
      <w:numFmt w:val="bullet"/>
      <w:lvlText w:val="•"/>
      <w:lvlJc w:val="left"/>
      <w:pPr>
        <w:ind w:left="1068" w:hanging="708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BF31FF"/>
    <w:multiLevelType w:val="hybridMultilevel"/>
    <w:tmpl w:val="8232357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D571C4"/>
    <w:multiLevelType w:val="hybridMultilevel"/>
    <w:tmpl w:val="E634DA1E"/>
    <w:lvl w:ilvl="0" w:tplc="D6844444">
      <w:numFmt w:val="bullet"/>
      <w:lvlText w:val="•"/>
      <w:lvlJc w:val="left"/>
      <w:pPr>
        <w:ind w:left="1068" w:hanging="708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BF805F8">
      <w:numFmt w:val="bullet"/>
      <w:lvlText w:val=""/>
      <w:lvlJc w:val="left"/>
      <w:pPr>
        <w:ind w:left="3216" w:hanging="1416"/>
      </w:pPr>
      <w:rPr>
        <w:rFonts w:ascii="Symbol" w:eastAsiaTheme="minorHAnsi" w:hAnsi="Symbol" w:cstheme="minorBidi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38124D"/>
    <w:multiLevelType w:val="hybridMultilevel"/>
    <w:tmpl w:val="A7026F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855706"/>
    <w:multiLevelType w:val="hybridMultilevel"/>
    <w:tmpl w:val="7FCC4C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FAD1760"/>
    <w:multiLevelType w:val="hybridMultilevel"/>
    <w:tmpl w:val="C76C325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34F572C"/>
    <w:multiLevelType w:val="hybridMultilevel"/>
    <w:tmpl w:val="DFA8DD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4032E8D"/>
    <w:multiLevelType w:val="hybridMultilevel"/>
    <w:tmpl w:val="44421E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87D7032"/>
    <w:multiLevelType w:val="hybridMultilevel"/>
    <w:tmpl w:val="DB226624"/>
    <w:lvl w:ilvl="0" w:tplc="D6844444">
      <w:numFmt w:val="bullet"/>
      <w:lvlText w:val="•"/>
      <w:lvlJc w:val="left"/>
      <w:pPr>
        <w:ind w:left="1068" w:hanging="708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E326385"/>
    <w:multiLevelType w:val="hybridMultilevel"/>
    <w:tmpl w:val="62BC6490"/>
    <w:lvl w:ilvl="0" w:tplc="D6844444">
      <w:numFmt w:val="bullet"/>
      <w:lvlText w:val="•"/>
      <w:lvlJc w:val="left"/>
      <w:pPr>
        <w:ind w:left="1068" w:hanging="708"/>
      </w:pPr>
      <w:rPr>
        <w:rFonts w:ascii="Calibri" w:eastAsiaTheme="minorHAnsi" w:hAnsi="Calibri" w:cstheme="minorBidi" w:hint="default"/>
      </w:rPr>
    </w:lvl>
    <w:lvl w:ilvl="1" w:tplc="3DA0B672">
      <w:numFmt w:val="bullet"/>
      <w:lvlText w:val=""/>
      <w:lvlJc w:val="left"/>
      <w:pPr>
        <w:ind w:left="1788" w:hanging="708"/>
      </w:pPr>
      <w:rPr>
        <w:rFonts w:ascii="Symbol" w:eastAsiaTheme="minorHAnsi" w:hAnsi="Symbol" w:cstheme="minorBid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E331868"/>
    <w:multiLevelType w:val="hybridMultilevel"/>
    <w:tmpl w:val="F5ECEC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06B3DAA"/>
    <w:multiLevelType w:val="hybridMultilevel"/>
    <w:tmpl w:val="C09A754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2AE78F3"/>
    <w:multiLevelType w:val="hybridMultilevel"/>
    <w:tmpl w:val="A190C3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8816673"/>
    <w:multiLevelType w:val="hybridMultilevel"/>
    <w:tmpl w:val="2D509C90"/>
    <w:lvl w:ilvl="0" w:tplc="D6844444">
      <w:numFmt w:val="bullet"/>
      <w:lvlText w:val="•"/>
      <w:lvlJc w:val="left"/>
      <w:pPr>
        <w:ind w:left="1068" w:hanging="708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92871B2"/>
    <w:multiLevelType w:val="hybridMultilevel"/>
    <w:tmpl w:val="F10A975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9512440"/>
    <w:multiLevelType w:val="hybridMultilevel"/>
    <w:tmpl w:val="B2F26112"/>
    <w:lvl w:ilvl="0" w:tplc="D6844444">
      <w:numFmt w:val="bullet"/>
      <w:lvlText w:val="•"/>
      <w:lvlJc w:val="left"/>
      <w:pPr>
        <w:ind w:left="1068" w:hanging="708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D2C047F"/>
    <w:multiLevelType w:val="hybridMultilevel"/>
    <w:tmpl w:val="3CFE5EEE"/>
    <w:lvl w:ilvl="0" w:tplc="D6844444">
      <w:numFmt w:val="bullet"/>
      <w:lvlText w:val="•"/>
      <w:lvlJc w:val="left"/>
      <w:pPr>
        <w:ind w:left="1068" w:hanging="708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E080667"/>
    <w:multiLevelType w:val="hybridMultilevel"/>
    <w:tmpl w:val="76FC44BC"/>
    <w:lvl w:ilvl="0" w:tplc="D6844444">
      <w:numFmt w:val="bullet"/>
      <w:lvlText w:val="•"/>
      <w:lvlJc w:val="left"/>
      <w:pPr>
        <w:ind w:left="1068" w:hanging="708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5B022F"/>
    <w:multiLevelType w:val="hybridMultilevel"/>
    <w:tmpl w:val="D32E2E1C"/>
    <w:lvl w:ilvl="0" w:tplc="D6844444">
      <w:numFmt w:val="bullet"/>
      <w:lvlText w:val="•"/>
      <w:lvlJc w:val="left"/>
      <w:pPr>
        <w:ind w:left="1068" w:hanging="708"/>
      </w:pPr>
      <w:rPr>
        <w:rFonts w:ascii="Calibri" w:eastAsiaTheme="minorHAnsi" w:hAnsi="Calibri" w:cstheme="minorBidi" w:hint="default"/>
      </w:rPr>
    </w:lvl>
    <w:lvl w:ilvl="1" w:tplc="3D347D96">
      <w:numFmt w:val="bullet"/>
      <w:lvlText w:val=""/>
      <w:lvlJc w:val="left"/>
      <w:pPr>
        <w:ind w:left="1788" w:hanging="708"/>
      </w:pPr>
      <w:rPr>
        <w:rFonts w:ascii="Symbol" w:eastAsiaTheme="minorHAnsi" w:hAnsi="Symbol" w:cstheme="minorBid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1FC1CD8"/>
    <w:multiLevelType w:val="hybridMultilevel"/>
    <w:tmpl w:val="794CC4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29934B9"/>
    <w:multiLevelType w:val="hybridMultilevel"/>
    <w:tmpl w:val="C33EDED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BD03A0D"/>
    <w:multiLevelType w:val="hybridMultilevel"/>
    <w:tmpl w:val="8234952E"/>
    <w:lvl w:ilvl="0" w:tplc="040C0001">
      <w:start w:val="1"/>
      <w:numFmt w:val="bullet"/>
      <w:lvlText w:val=""/>
      <w:lvlJc w:val="left"/>
      <w:pPr>
        <w:ind w:left="76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8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4" w:hanging="360"/>
      </w:pPr>
      <w:rPr>
        <w:rFonts w:ascii="Wingdings" w:hAnsi="Wingdings" w:hint="default"/>
      </w:rPr>
    </w:lvl>
  </w:abstractNum>
  <w:abstractNum w:abstractNumId="33">
    <w:nsid w:val="7F1B1560"/>
    <w:multiLevelType w:val="hybridMultilevel"/>
    <w:tmpl w:val="6B7AA5E4"/>
    <w:lvl w:ilvl="0" w:tplc="D6844444">
      <w:numFmt w:val="bullet"/>
      <w:lvlText w:val="•"/>
      <w:lvlJc w:val="left"/>
      <w:pPr>
        <w:ind w:left="1068" w:hanging="708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6"/>
  </w:num>
  <w:num w:numId="3">
    <w:abstractNumId w:val="12"/>
  </w:num>
  <w:num w:numId="4">
    <w:abstractNumId w:val="0"/>
  </w:num>
  <w:num w:numId="5">
    <w:abstractNumId w:val="31"/>
  </w:num>
  <w:num w:numId="6">
    <w:abstractNumId w:val="3"/>
  </w:num>
  <w:num w:numId="7">
    <w:abstractNumId w:val="17"/>
  </w:num>
  <w:num w:numId="8">
    <w:abstractNumId w:val="18"/>
  </w:num>
  <w:num w:numId="9">
    <w:abstractNumId w:val="1"/>
  </w:num>
  <w:num w:numId="10">
    <w:abstractNumId w:val="32"/>
  </w:num>
  <w:num w:numId="11">
    <w:abstractNumId w:val="4"/>
  </w:num>
  <w:num w:numId="12">
    <w:abstractNumId w:val="15"/>
  </w:num>
  <w:num w:numId="13">
    <w:abstractNumId w:val="8"/>
  </w:num>
  <w:num w:numId="14">
    <w:abstractNumId w:val="7"/>
  </w:num>
  <w:num w:numId="15">
    <w:abstractNumId w:val="5"/>
  </w:num>
  <w:num w:numId="16">
    <w:abstractNumId w:val="23"/>
  </w:num>
  <w:num w:numId="17">
    <w:abstractNumId w:val="14"/>
  </w:num>
  <w:num w:numId="18">
    <w:abstractNumId w:val="30"/>
  </w:num>
  <w:num w:numId="19">
    <w:abstractNumId w:val="21"/>
  </w:num>
  <w:num w:numId="20">
    <w:abstractNumId w:val="33"/>
  </w:num>
  <w:num w:numId="21">
    <w:abstractNumId w:val="26"/>
  </w:num>
  <w:num w:numId="22">
    <w:abstractNumId w:val="27"/>
  </w:num>
  <w:num w:numId="23">
    <w:abstractNumId w:val="20"/>
  </w:num>
  <w:num w:numId="24">
    <w:abstractNumId w:val="10"/>
  </w:num>
  <w:num w:numId="25">
    <w:abstractNumId w:val="13"/>
  </w:num>
  <w:num w:numId="26">
    <w:abstractNumId w:val="25"/>
  </w:num>
  <w:num w:numId="27">
    <w:abstractNumId w:val="2"/>
  </w:num>
  <w:num w:numId="28">
    <w:abstractNumId w:val="24"/>
  </w:num>
  <w:num w:numId="29">
    <w:abstractNumId w:val="6"/>
  </w:num>
  <w:num w:numId="30">
    <w:abstractNumId w:val="28"/>
  </w:num>
  <w:num w:numId="31">
    <w:abstractNumId w:val="29"/>
  </w:num>
  <w:num w:numId="32">
    <w:abstractNumId w:val="19"/>
  </w:num>
  <w:num w:numId="33">
    <w:abstractNumId w:val="11"/>
  </w:num>
  <w:num w:numId="34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00A"/>
    <w:rsid w:val="00000FCA"/>
    <w:rsid w:val="000031D4"/>
    <w:rsid w:val="0000558C"/>
    <w:rsid w:val="00014939"/>
    <w:rsid w:val="00016D04"/>
    <w:rsid w:val="00020E59"/>
    <w:rsid w:val="00030124"/>
    <w:rsid w:val="00032EF1"/>
    <w:rsid w:val="00035875"/>
    <w:rsid w:val="00035EC8"/>
    <w:rsid w:val="00040387"/>
    <w:rsid w:val="00040F33"/>
    <w:rsid w:val="000415E7"/>
    <w:rsid w:val="00057A0B"/>
    <w:rsid w:val="00060D57"/>
    <w:rsid w:val="000675CE"/>
    <w:rsid w:val="000721E2"/>
    <w:rsid w:val="0008111F"/>
    <w:rsid w:val="00081B08"/>
    <w:rsid w:val="0008621F"/>
    <w:rsid w:val="000A34B9"/>
    <w:rsid w:val="000A4274"/>
    <w:rsid w:val="000B24D1"/>
    <w:rsid w:val="000C4CC0"/>
    <w:rsid w:val="000D6710"/>
    <w:rsid w:val="00105B2F"/>
    <w:rsid w:val="001128E2"/>
    <w:rsid w:val="0011488D"/>
    <w:rsid w:val="00116D34"/>
    <w:rsid w:val="001369CF"/>
    <w:rsid w:val="00137781"/>
    <w:rsid w:val="00150694"/>
    <w:rsid w:val="001520B5"/>
    <w:rsid w:val="001719D2"/>
    <w:rsid w:val="00175CFA"/>
    <w:rsid w:val="0017606E"/>
    <w:rsid w:val="001803BC"/>
    <w:rsid w:val="0018178D"/>
    <w:rsid w:val="00183E81"/>
    <w:rsid w:val="00192FE1"/>
    <w:rsid w:val="00197465"/>
    <w:rsid w:val="001A1478"/>
    <w:rsid w:val="001B5030"/>
    <w:rsid w:val="001C0192"/>
    <w:rsid w:val="001D719C"/>
    <w:rsid w:val="001E2210"/>
    <w:rsid w:val="00205FDE"/>
    <w:rsid w:val="00222056"/>
    <w:rsid w:val="0022469D"/>
    <w:rsid w:val="00226573"/>
    <w:rsid w:val="00233ABD"/>
    <w:rsid w:val="00234156"/>
    <w:rsid w:val="0024209E"/>
    <w:rsid w:val="00243D28"/>
    <w:rsid w:val="00252216"/>
    <w:rsid w:val="00271E45"/>
    <w:rsid w:val="00293A21"/>
    <w:rsid w:val="002971B9"/>
    <w:rsid w:val="002A1E27"/>
    <w:rsid w:val="002B0D28"/>
    <w:rsid w:val="002B147C"/>
    <w:rsid w:val="002C3ABF"/>
    <w:rsid w:val="002D0E17"/>
    <w:rsid w:val="002E02A8"/>
    <w:rsid w:val="002E0AB7"/>
    <w:rsid w:val="002F454F"/>
    <w:rsid w:val="00300CF3"/>
    <w:rsid w:val="003046BB"/>
    <w:rsid w:val="0031184D"/>
    <w:rsid w:val="00317A39"/>
    <w:rsid w:val="00326447"/>
    <w:rsid w:val="00331931"/>
    <w:rsid w:val="003419BE"/>
    <w:rsid w:val="00352C19"/>
    <w:rsid w:val="003548CF"/>
    <w:rsid w:val="00361E0B"/>
    <w:rsid w:val="00370299"/>
    <w:rsid w:val="00386D63"/>
    <w:rsid w:val="003B696C"/>
    <w:rsid w:val="003C73DC"/>
    <w:rsid w:val="003D6159"/>
    <w:rsid w:val="003D7224"/>
    <w:rsid w:val="003E044B"/>
    <w:rsid w:val="003F4345"/>
    <w:rsid w:val="003F6393"/>
    <w:rsid w:val="003F6F70"/>
    <w:rsid w:val="00402F8B"/>
    <w:rsid w:val="0040365A"/>
    <w:rsid w:val="00403D1D"/>
    <w:rsid w:val="0040511E"/>
    <w:rsid w:val="00416F35"/>
    <w:rsid w:val="00434A8B"/>
    <w:rsid w:val="00436756"/>
    <w:rsid w:val="00441AEC"/>
    <w:rsid w:val="00445C29"/>
    <w:rsid w:val="00445C43"/>
    <w:rsid w:val="0046429A"/>
    <w:rsid w:val="004669FD"/>
    <w:rsid w:val="00475862"/>
    <w:rsid w:val="00485440"/>
    <w:rsid w:val="00485499"/>
    <w:rsid w:val="004B2D15"/>
    <w:rsid w:val="004B3D08"/>
    <w:rsid w:val="004C343B"/>
    <w:rsid w:val="004D3FD0"/>
    <w:rsid w:val="004D4497"/>
    <w:rsid w:val="004D6085"/>
    <w:rsid w:val="004E20C8"/>
    <w:rsid w:val="004F4211"/>
    <w:rsid w:val="004F4C20"/>
    <w:rsid w:val="0050210E"/>
    <w:rsid w:val="00505ED7"/>
    <w:rsid w:val="00511B76"/>
    <w:rsid w:val="00520556"/>
    <w:rsid w:val="00521CB3"/>
    <w:rsid w:val="00521EBD"/>
    <w:rsid w:val="005267E2"/>
    <w:rsid w:val="00537065"/>
    <w:rsid w:val="0056097D"/>
    <w:rsid w:val="0057267C"/>
    <w:rsid w:val="005758AB"/>
    <w:rsid w:val="0058043F"/>
    <w:rsid w:val="00587747"/>
    <w:rsid w:val="005A7EC5"/>
    <w:rsid w:val="005B1719"/>
    <w:rsid w:val="005B36B3"/>
    <w:rsid w:val="005B5940"/>
    <w:rsid w:val="005C4F84"/>
    <w:rsid w:val="005C56B2"/>
    <w:rsid w:val="005F1C48"/>
    <w:rsid w:val="005F24C4"/>
    <w:rsid w:val="005F43D9"/>
    <w:rsid w:val="00604DE9"/>
    <w:rsid w:val="00606531"/>
    <w:rsid w:val="00606ED6"/>
    <w:rsid w:val="006132DA"/>
    <w:rsid w:val="006170D0"/>
    <w:rsid w:val="006213FC"/>
    <w:rsid w:val="0062297B"/>
    <w:rsid w:val="0064292F"/>
    <w:rsid w:val="00651200"/>
    <w:rsid w:val="006702CB"/>
    <w:rsid w:val="00670822"/>
    <w:rsid w:val="0067694B"/>
    <w:rsid w:val="00687478"/>
    <w:rsid w:val="00687F02"/>
    <w:rsid w:val="006A0032"/>
    <w:rsid w:val="006A1602"/>
    <w:rsid w:val="006B7403"/>
    <w:rsid w:val="006C0D2A"/>
    <w:rsid w:val="006C337C"/>
    <w:rsid w:val="006C6051"/>
    <w:rsid w:val="006D2BAF"/>
    <w:rsid w:val="006E00DE"/>
    <w:rsid w:val="006E105A"/>
    <w:rsid w:val="006E2779"/>
    <w:rsid w:val="006F3904"/>
    <w:rsid w:val="007013A1"/>
    <w:rsid w:val="00704E27"/>
    <w:rsid w:val="0071157C"/>
    <w:rsid w:val="007256AA"/>
    <w:rsid w:val="007273ED"/>
    <w:rsid w:val="00732520"/>
    <w:rsid w:val="00742687"/>
    <w:rsid w:val="00744E3C"/>
    <w:rsid w:val="0076715E"/>
    <w:rsid w:val="007703AB"/>
    <w:rsid w:val="00773E84"/>
    <w:rsid w:val="007751B1"/>
    <w:rsid w:val="0078299B"/>
    <w:rsid w:val="0078300A"/>
    <w:rsid w:val="0078429C"/>
    <w:rsid w:val="00785517"/>
    <w:rsid w:val="00785569"/>
    <w:rsid w:val="007953EA"/>
    <w:rsid w:val="0079553F"/>
    <w:rsid w:val="007A4E88"/>
    <w:rsid w:val="007D3999"/>
    <w:rsid w:val="007E1910"/>
    <w:rsid w:val="007E440B"/>
    <w:rsid w:val="007F57BC"/>
    <w:rsid w:val="00810529"/>
    <w:rsid w:val="008201D8"/>
    <w:rsid w:val="00831C59"/>
    <w:rsid w:val="008447C6"/>
    <w:rsid w:val="00855BDA"/>
    <w:rsid w:val="00860349"/>
    <w:rsid w:val="00860BB0"/>
    <w:rsid w:val="00870ACB"/>
    <w:rsid w:val="00892B5B"/>
    <w:rsid w:val="008A2719"/>
    <w:rsid w:val="008A4524"/>
    <w:rsid w:val="008B660E"/>
    <w:rsid w:val="008C01B0"/>
    <w:rsid w:val="008C10BE"/>
    <w:rsid w:val="008E28E2"/>
    <w:rsid w:val="0091636F"/>
    <w:rsid w:val="00923FB9"/>
    <w:rsid w:val="00926141"/>
    <w:rsid w:val="009320BE"/>
    <w:rsid w:val="00935F0E"/>
    <w:rsid w:val="00955FEF"/>
    <w:rsid w:val="00964A49"/>
    <w:rsid w:val="00991429"/>
    <w:rsid w:val="00997445"/>
    <w:rsid w:val="009A7121"/>
    <w:rsid w:val="009D1930"/>
    <w:rsid w:val="009D21C9"/>
    <w:rsid w:val="009E6AF6"/>
    <w:rsid w:val="009F1784"/>
    <w:rsid w:val="009F1A66"/>
    <w:rsid w:val="00A17DB9"/>
    <w:rsid w:val="00A21C55"/>
    <w:rsid w:val="00A43FF0"/>
    <w:rsid w:val="00A54497"/>
    <w:rsid w:val="00A65DD7"/>
    <w:rsid w:val="00A7172B"/>
    <w:rsid w:val="00A77FF2"/>
    <w:rsid w:val="00A84821"/>
    <w:rsid w:val="00A85C73"/>
    <w:rsid w:val="00A94CFE"/>
    <w:rsid w:val="00AB089C"/>
    <w:rsid w:val="00AC281F"/>
    <w:rsid w:val="00AD4E5A"/>
    <w:rsid w:val="00AD734D"/>
    <w:rsid w:val="00AE3D7B"/>
    <w:rsid w:val="00AE580A"/>
    <w:rsid w:val="00AF5F6C"/>
    <w:rsid w:val="00B0514D"/>
    <w:rsid w:val="00B11D00"/>
    <w:rsid w:val="00B2549D"/>
    <w:rsid w:val="00B44834"/>
    <w:rsid w:val="00B46367"/>
    <w:rsid w:val="00B50118"/>
    <w:rsid w:val="00B510BA"/>
    <w:rsid w:val="00BA6DAC"/>
    <w:rsid w:val="00BC0212"/>
    <w:rsid w:val="00BC299D"/>
    <w:rsid w:val="00BC3301"/>
    <w:rsid w:val="00BD28CB"/>
    <w:rsid w:val="00BD401D"/>
    <w:rsid w:val="00BD57F7"/>
    <w:rsid w:val="00BD6988"/>
    <w:rsid w:val="00BE2BDF"/>
    <w:rsid w:val="00BE4183"/>
    <w:rsid w:val="00BE646E"/>
    <w:rsid w:val="00C14AB2"/>
    <w:rsid w:val="00C40D5F"/>
    <w:rsid w:val="00C46D88"/>
    <w:rsid w:val="00C6013C"/>
    <w:rsid w:val="00C6376B"/>
    <w:rsid w:val="00C65034"/>
    <w:rsid w:val="00C90C83"/>
    <w:rsid w:val="00C92BC2"/>
    <w:rsid w:val="00C94613"/>
    <w:rsid w:val="00CA5127"/>
    <w:rsid w:val="00CA553E"/>
    <w:rsid w:val="00CA61B6"/>
    <w:rsid w:val="00CB2C05"/>
    <w:rsid w:val="00CC266F"/>
    <w:rsid w:val="00CE0946"/>
    <w:rsid w:val="00CE6FC7"/>
    <w:rsid w:val="00CF6DB7"/>
    <w:rsid w:val="00D17372"/>
    <w:rsid w:val="00D32CB4"/>
    <w:rsid w:val="00D360A1"/>
    <w:rsid w:val="00D42DA7"/>
    <w:rsid w:val="00D55B89"/>
    <w:rsid w:val="00D667BD"/>
    <w:rsid w:val="00D72DBB"/>
    <w:rsid w:val="00D76003"/>
    <w:rsid w:val="00DC3C6E"/>
    <w:rsid w:val="00DD6A84"/>
    <w:rsid w:val="00E01E23"/>
    <w:rsid w:val="00E05BAB"/>
    <w:rsid w:val="00E07034"/>
    <w:rsid w:val="00E175AB"/>
    <w:rsid w:val="00E22A8E"/>
    <w:rsid w:val="00E315A2"/>
    <w:rsid w:val="00E35A9C"/>
    <w:rsid w:val="00E44C28"/>
    <w:rsid w:val="00E461B2"/>
    <w:rsid w:val="00E6627A"/>
    <w:rsid w:val="00E805DC"/>
    <w:rsid w:val="00E934D2"/>
    <w:rsid w:val="00EA2CA6"/>
    <w:rsid w:val="00EA380A"/>
    <w:rsid w:val="00EA4B45"/>
    <w:rsid w:val="00EA76B4"/>
    <w:rsid w:val="00EB13CC"/>
    <w:rsid w:val="00EB208C"/>
    <w:rsid w:val="00EB6E50"/>
    <w:rsid w:val="00EC6B6F"/>
    <w:rsid w:val="00EE03DD"/>
    <w:rsid w:val="00EF1E6E"/>
    <w:rsid w:val="00EF4491"/>
    <w:rsid w:val="00F027C6"/>
    <w:rsid w:val="00F07D4F"/>
    <w:rsid w:val="00F2408D"/>
    <w:rsid w:val="00F24AF6"/>
    <w:rsid w:val="00F32422"/>
    <w:rsid w:val="00F345F4"/>
    <w:rsid w:val="00F34D66"/>
    <w:rsid w:val="00F35687"/>
    <w:rsid w:val="00F4496D"/>
    <w:rsid w:val="00F50939"/>
    <w:rsid w:val="00F54CA5"/>
    <w:rsid w:val="00F66EC1"/>
    <w:rsid w:val="00F709B9"/>
    <w:rsid w:val="00F81880"/>
    <w:rsid w:val="00F93677"/>
    <w:rsid w:val="00FB1325"/>
    <w:rsid w:val="00FB2D11"/>
    <w:rsid w:val="00FC572E"/>
    <w:rsid w:val="00FD0D7F"/>
    <w:rsid w:val="00FD552A"/>
    <w:rsid w:val="00FE11B4"/>
    <w:rsid w:val="00FE52D8"/>
    <w:rsid w:val="00FF4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0FCA"/>
    <w:pPr>
      <w:jc w:val="both"/>
    </w:pPr>
  </w:style>
  <w:style w:type="paragraph" w:styleId="Titre1">
    <w:name w:val="heading 1"/>
    <w:basedOn w:val="Normal"/>
    <w:next w:val="Normal"/>
    <w:link w:val="Titre1Car"/>
    <w:uiPriority w:val="9"/>
    <w:qFormat/>
    <w:rsid w:val="006D2BAF"/>
    <w:pPr>
      <w:keepNext/>
      <w:keepLines/>
      <w:pBdr>
        <w:bottom w:val="single" w:sz="4" w:space="1" w:color="auto"/>
      </w:pBdr>
      <w:spacing w:before="24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44E3C"/>
    <w:pPr>
      <w:keepNext/>
      <w:keepLines/>
      <w:spacing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830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8300A"/>
  </w:style>
  <w:style w:type="paragraph" w:styleId="Pieddepage">
    <w:name w:val="footer"/>
    <w:basedOn w:val="Normal"/>
    <w:link w:val="PieddepageCar"/>
    <w:uiPriority w:val="99"/>
    <w:unhideWhenUsed/>
    <w:rsid w:val="007830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8300A"/>
  </w:style>
  <w:style w:type="paragraph" w:styleId="Textedebulles">
    <w:name w:val="Balloon Text"/>
    <w:basedOn w:val="Normal"/>
    <w:link w:val="TextedebullesCar"/>
    <w:uiPriority w:val="99"/>
    <w:semiHidden/>
    <w:unhideWhenUsed/>
    <w:rsid w:val="00783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8300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8300A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78300A"/>
    <w:rPr>
      <w:color w:val="0000FF" w:themeColor="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6D2BAF"/>
    <w:rPr>
      <w:rFonts w:asciiTheme="majorHAnsi" w:eastAsiaTheme="majorEastAsia" w:hAnsiTheme="majorHAnsi" w:cstheme="majorBidi"/>
      <w:b/>
      <w:bCs/>
      <w:sz w:val="28"/>
      <w:szCs w:val="28"/>
    </w:rPr>
  </w:style>
  <w:style w:type="character" w:styleId="lev">
    <w:name w:val="Strong"/>
    <w:basedOn w:val="Policepardfaut"/>
    <w:uiPriority w:val="22"/>
    <w:qFormat/>
    <w:rsid w:val="005C4F84"/>
    <w:rPr>
      <w:b/>
      <w:bCs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00FCA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00FCA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000FCA"/>
    <w:rPr>
      <w:vertAlign w:val="superscript"/>
    </w:rPr>
  </w:style>
  <w:style w:type="table" w:styleId="Grilledutableau">
    <w:name w:val="Table Grid"/>
    <w:basedOn w:val="TableauNormal"/>
    <w:uiPriority w:val="59"/>
    <w:rsid w:val="00000F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basedOn w:val="Policepardfaut"/>
    <w:link w:val="Titre2"/>
    <w:uiPriority w:val="9"/>
    <w:rsid w:val="00744E3C"/>
    <w:rPr>
      <w:rFonts w:asciiTheme="majorHAnsi" w:eastAsiaTheme="majorEastAsia" w:hAnsiTheme="majorHAnsi" w:cstheme="majorBidi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0FCA"/>
    <w:pPr>
      <w:jc w:val="both"/>
    </w:pPr>
  </w:style>
  <w:style w:type="paragraph" w:styleId="Titre1">
    <w:name w:val="heading 1"/>
    <w:basedOn w:val="Normal"/>
    <w:next w:val="Normal"/>
    <w:link w:val="Titre1Car"/>
    <w:uiPriority w:val="9"/>
    <w:qFormat/>
    <w:rsid w:val="006D2BAF"/>
    <w:pPr>
      <w:keepNext/>
      <w:keepLines/>
      <w:pBdr>
        <w:bottom w:val="single" w:sz="4" w:space="1" w:color="auto"/>
      </w:pBdr>
      <w:spacing w:before="24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44E3C"/>
    <w:pPr>
      <w:keepNext/>
      <w:keepLines/>
      <w:spacing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830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8300A"/>
  </w:style>
  <w:style w:type="paragraph" w:styleId="Pieddepage">
    <w:name w:val="footer"/>
    <w:basedOn w:val="Normal"/>
    <w:link w:val="PieddepageCar"/>
    <w:uiPriority w:val="99"/>
    <w:unhideWhenUsed/>
    <w:rsid w:val="007830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8300A"/>
  </w:style>
  <w:style w:type="paragraph" w:styleId="Textedebulles">
    <w:name w:val="Balloon Text"/>
    <w:basedOn w:val="Normal"/>
    <w:link w:val="TextedebullesCar"/>
    <w:uiPriority w:val="99"/>
    <w:semiHidden/>
    <w:unhideWhenUsed/>
    <w:rsid w:val="00783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8300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8300A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78300A"/>
    <w:rPr>
      <w:color w:val="0000FF" w:themeColor="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6D2BAF"/>
    <w:rPr>
      <w:rFonts w:asciiTheme="majorHAnsi" w:eastAsiaTheme="majorEastAsia" w:hAnsiTheme="majorHAnsi" w:cstheme="majorBidi"/>
      <w:b/>
      <w:bCs/>
      <w:sz w:val="28"/>
      <w:szCs w:val="28"/>
    </w:rPr>
  </w:style>
  <w:style w:type="character" w:styleId="lev">
    <w:name w:val="Strong"/>
    <w:basedOn w:val="Policepardfaut"/>
    <w:uiPriority w:val="22"/>
    <w:qFormat/>
    <w:rsid w:val="005C4F84"/>
    <w:rPr>
      <w:b/>
      <w:bCs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00FCA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00FCA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000FCA"/>
    <w:rPr>
      <w:vertAlign w:val="superscript"/>
    </w:rPr>
  </w:style>
  <w:style w:type="table" w:styleId="Grilledutableau">
    <w:name w:val="Table Grid"/>
    <w:basedOn w:val="TableauNormal"/>
    <w:uiPriority w:val="59"/>
    <w:rsid w:val="00000F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basedOn w:val="Policepardfaut"/>
    <w:link w:val="Titre2"/>
    <w:uiPriority w:val="9"/>
    <w:rsid w:val="00744E3C"/>
    <w:rPr>
      <w:rFonts w:asciiTheme="majorHAnsi" w:eastAsiaTheme="majorEastAsia" w:hAnsiTheme="majorHAnsi" w:cstheme="majorBidi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C39D3170B184770A099C3BE4425B29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9B9A87D-77DD-4ABF-B6AA-5DF721D8295B}"/>
      </w:docPartPr>
      <w:docPartBody>
        <w:p w:rsidR="00CC1862" w:rsidRDefault="0061598E" w:rsidP="0061598E">
          <w:pPr>
            <w:pStyle w:val="6C39D3170B184770A099C3BE4425B29B"/>
          </w:pPr>
          <w:r>
            <w:rPr>
              <w:rFonts w:asciiTheme="majorHAnsi" w:eastAsiaTheme="majorEastAsia" w:hAnsiTheme="majorHAnsi" w:cstheme="majorBidi"/>
            </w:rPr>
            <w:t>[Texte]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98E"/>
    <w:rsid w:val="00236375"/>
    <w:rsid w:val="00266F6A"/>
    <w:rsid w:val="002A22B4"/>
    <w:rsid w:val="0031093C"/>
    <w:rsid w:val="004616BF"/>
    <w:rsid w:val="00572DF2"/>
    <w:rsid w:val="0061598E"/>
    <w:rsid w:val="007767B5"/>
    <w:rsid w:val="00A75161"/>
    <w:rsid w:val="00B5220F"/>
    <w:rsid w:val="00CA1242"/>
    <w:rsid w:val="00CB50FA"/>
    <w:rsid w:val="00CC1862"/>
    <w:rsid w:val="00DD0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6C39D3170B184770A099C3BE4425B29B">
    <w:name w:val="6C39D3170B184770A099C3BE4425B29B"/>
    <w:rsid w:val="0061598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6C39D3170B184770A099C3BE4425B29B">
    <w:name w:val="6C39D3170B184770A099C3BE4425B29B"/>
    <w:rsid w:val="0061598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3E1755-8193-406A-88BA-4241129B6D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</Pages>
  <Words>755</Words>
  <Characters>4158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moi</dc:creator>
  <cp:lastModifiedBy>moi</cp:lastModifiedBy>
  <cp:revision>15</cp:revision>
  <cp:lastPrinted>2017-02-15T21:17:00Z</cp:lastPrinted>
  <dcterms:created xsi:type="dcterms:W3CDTF">2017-02-15T20:44:00Z</dcterms:created>
  <dcterms:modified xsi:type="dcterms:W3CDTF">2017-02-15T21:19:00Z</dcterms:modified>
</cp:coreProperties>
</file>