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636CE">
      <w:pPr>
        <w:pStyle w:val="Titre1"/>
        <w:spacing w:before="120" w:line="360" w:lineRule="auto"/>
        <w:rPr>
          <w:sz w:val="20"/>
        </w:rPr>
      </w:pPr>
      <w:bookmarkStart w:id="0" w:name="_Toc75405260"/>
      <w:bookmarkStart w:id="1" w:name="_Toc75414688"/>
      <w:bookmarkStart w:id="2" w:name="_GoBack"/>
      <w:bookmarkEnd w:id="2"/>
    </w:p>
    <w:p w:rsidR="008C3641" w:rsidRDefault="008C3641">
      <w:pPr>
        <w:pStyle w:val="Titre1"/>
      </w:pPr>
      <w:bookmarkStart w:id="3" w:name="_Toc75570083"/>
      <w:bookmarkEnd w:id="0"/>
      <w:bookmarkEnd w:id="1"/>
      <w:r>
        <w:t>EDI – Electronic Data Interchange – Echange de Données Informatisé</w:t>
      </w:r>
    </w:p>
    <w:p w:rsidR="00000000" w:rsidRDefault="00B636CE">
      <w:pPr>
        <w:pStyle w:val="Titre1"/>
      </w:pPr>
      <w:r>
        <w:t>Liste des acronymes et abréviations</w:t>
      </w:r>
      <w:bookmarkEnd w:id="3"/>
    </w:p>
    <w:p w:rsidR="00000000" w:rsidRDefault="00B636CE">
      <w:pPr>
        <w:rPr>
          <w:rFonts w:ascii="Verdana" w:hAnsi="Verdana"/>
        </w:rPr>
      </w:pPr>
    </w:p>
    <w:tbl>
      <w:tblPr>
        <w:tblW w:w="0" w:type="auto"/>
        <w:tblLook w:val="0000" w:firstRow="0" w:lastRow="0" w:firstColumn="0" w:lastColumn="0" w:noHBand="0" w:noVBand="0"/>
      </w:tblPr>
      <w:tblGrid>
        <w:gridCol w:w="1809"/>
        <w:gridCol w:w="7811"/>
      </w:tblGrid>
      <w:tr w:rsidR="00000000">
        <w:tblPrEx>
          <w:tblCellMar>
            <w:top w:w="0" w:type="dxa"/>
            <w:bottom w:w="0" w:type="dxa"/>
          </w:tblCellMar>
        </w:tblPrEx>
        <w:trPr>
          <w:cantSplit/>
        </w:trPr>
        <w:tc>
          <w:tcPr>
            <w:tcW w:w="1809" w:type="dxa"/>
          </w:tcPr>
          <w:p w:rsidR="00000000" w:rsidRDefault="00B636CE">
            <w:r>
              <w:t>AFNOR</w:t>
            </w:r>
          </w:p>
        </w:tc>
        <w:tc>
          <w:tcPr>
            <w:tcW w:w="7811" w:type="dxa"/>
          </w:tcPr>
          <w:p w:rsidR="00000000" w:rsidRDefault="00B636CE">
            <w:r>
              <w:t>Association Française de Normalisation</w:t>
            </w:r>
          </w:p>
          <w:p w:rsidR="00000000" w:rsidRDefault="00B636CE"/>
        </w:tc>
      </w:tr>
      <w:tr w:rsidR="00000000">
        <w:tblPrEx>
          <w:tblCellMar>
            <w:top w:w="0" w:type="dxa"/>
            <w:bottom w:w="0" w:type="dxa"/>
          </w:tblCellMar>
        </w:tblPrEx>
        <w:trPr>
          <w:cantSplit/>
        </w:trPr>
        <w:tc>
          <w:tcPr>
            <w:tcW w:w="1809" w:type="dxa"/>
          </w:tcPr>
          <w:p w:rsidR="00000000" w:rsidRDefault="00B636CE">
            <w:r>
              <w:t>B2B</w:t>
            </w:r>
          </w:p>
        </w:tc>
        <w:tc>
          <w:tcPr>
            <w:tcW w:w="7811" w:type="dxa"/>
          </w:tcPr>
          <w:p w:rsidR="00000000" w:rsidRDefault="00B636CE">
            <w:r>
              <w:t>Business To Business</w:t>
            </w:r>
          </w:p>
          <w:p w:rsidR="00000000" w:rsidRDefault="00B636CE"/>
        </w:tc>
      </w:tr>
      <w:tr w:rsidR="00000000">
        <w:tblPrEx>
          <w:tblCellMar>
            <w:top w:w="0" w:type="dxa"/>
            <w:bottom w:w="0" w:type="dxa"/>
          </w:tblCellMar>
        </w:tblPrEx>
        <w:trPr>
          <w:cantSplit/>
        </w:trPr>
        <w:tc>
          <w:tcPr>
            <w:tcW w:w="1809" w:type="dxa"/>
          </w:tcPr>
          <w:p w:rsidR="00000000" w:rsidRDefault="00B636CE">
            <w:r>
              <w:t>B2C</w:t>
            </w:r>
          </w:p>
        </w:tc>
        <w:tc>
          <w:tcPr>
            <w:tcW w:w="7811" w:type="dxa"/>
          </w:tcPr>
          <w:p w:rsidR="00000000" w:rsidRDefault="00B636CE">
            <w:r>
              <w:t>Business To Customer</w:t>
            </w:r>
          </w:p>
          <w:p w:rsidR="00000000" w:rsidRDefault="00B636CE"/>
        </w:tc>
      </w:tr>
      <w:tr w:rsidR="00000000">
        <w:tblPrEx>
          <w:tblCellMar>
            <w:top w:w="0" w:type="dxa"/>
            <w:bottom w:w="0" w:type="dxa"/>
          </w:tblCellMar>
        </w:tblPrEx>
        <w:trPr>
          <w:cantSplit/>
        </w:trPr>
        <w:tc>
          <w:tcPr>
            <w:tcW w:w="1809" w:type="dxa"/>
          </w:tcPr>
          <w:p w:rsidR="00000000" w:rsidRDefault="00B636CE">
            <w:r>
              <w:t>EAI</w:t>
            </w:r>
          </w:p>
        </w:tc>
        <w:tc>
          <w:tcPr>
            <w:tcW w:w="7811" w:type="dxa"/>
          </w:tcPr>
          <w:p w:rsidR="00000000" w:rsidRDefault="00B636CE">
            <w:r>
              <w:t>Entreprise Application Integration</w:t>
            </w:r>
          </w:p>
          <w:p w:rsidR="00000000" w:rsidRDefault="00B636CE"/>
        </w:tc>
      </w:tr>
      <w:tr w:rsidR="00000000">
        <w:tblPrEx>
          <w:tblCellMar>
            <w:top w:w="0" w:type="dxa"/>
            <w:bottom w:w="0" w:type="dxa"/>
          </w:tblCellMar>
        </w:tblPrEx>
        <w:trPr>
          <w:cantSplit/>
        </w:trPr>
        <w:tc>
          <w:tcPr>
            <w:tcW w:w="1809" w:type="dxa"/>
          </w:tcPr>
          <w:p w:rsidR="00000000" w:rsidRDefault="00B636CE">
            <w:r>
              <w:t>EAN</w:t>
            </w:r>
          </w:p>
        </w:tc>
        <w:tc>
          <w:tcPr>
            <w:tcW w:w="7811" w:type="dxa"/>
          </w:tcPr>
          <w:p w:rsidR="00000000" w:rsidRDefault="00B636CE">
            <w:r>
              <w:t>European Article Numbering (promotion des codes à barres)</w:t>
            </w:r>
          </w:p>
          <w:p w:rsidR="00000000" w:rsidRDefault="00B636CE"/>
        </w:tc>
      </w:tr>
      <w:tr w:rsidR="00000000">
        <w:tblPrEx>
          <w:tblCellMar>
            <w:top w:w="0" w:type="dxa"/>
            <w:bottom w:w="0" w:type="dxa"/>
          </w:tblCellMar>
        </w:tblPrEx>
        <w:trPr>
          <w:cantSplit/>
        </w:trPr>
        <w:tc>
          <w:tcPr>
            <w:tcW w:w="1809" w:type="dxa"/>
          </w:tcPr>
          <w:p w:rsidR="00000000" w:rsidRDefault="00B636CE">
            <w:r>
              <w:t>EDI</w:t>
            </w:r>
          </w:p>
        </w:tc>
        <w:tc>
          <w:tcPr>
            <w:tcW w:w="7811" w:type="dxa"/>
          </w:tcPr>
          <w:p w:rsidR="00000000" w:rsidRDefault="00B636CE">
            <w:r>
              <w:t>(anglais) Electronic Data Interchange</w:t>
            </w:r>
          </w:p>
          <w:p w:rsidR="00000000" w:rsidRDefault="00B636CE">
            <w:r>
              <w:t>(français) Echange de Données Informatisé</w:t>
            </w:r>
          </w:p>
          <w:p w:rsidR="00000000" w:rsidRDefault="00B636CE"/>
        </w:tc>
      </w:tr>
      <w:tr w:rsidR="00000000">
        <w:tblPrEx>
          <w:tblCellMar>
            <w:top w:w="0" w:type="dxa"/>
            <w:bottom w:w="0" w:type="dxa"/>
          </w:tblCellMar>
        </w:tblPrEx>
        <w:trPr>
          <w:cantSplit/>
        </w:trPr>
        <w:tc>
          <w:tcPr>
            <w:tcW w:w="1809" w:type="dxa"/>
          </w:tcPr>
          <w:p w:rsidR="00000000" w:rsidRDefault="00B636CE">
            <w:r>
              <w:t>EDIFACT</w:t>
            </w:r>
          </w:p>
        </w:tc>
        <w:tc>
          <w:tcPr>
            <w:tcW w:w="7811" w:type="dxa"/>
          </w:tcPr>
          <w:p w:rsidR="00000000" w:rsidRPr="00AB288A" w:rsidRDefault="00B636CE">
            <w:pPr>
              <w:rPr>
                <w:lang w:val="en-US"/>
              </w:rPr>
            </w:pPr>
            <w:r w:rsidRPr="00AB288A">
              <w:rPr>
                <w:lang w:val="en-US"/>
              </w:rPr>
              <w:t>Electro</w:t>
            </w:r>
            <w:r w:rsidRPr="00AB288A">
              <w:rPr>
                <w:lang w:val="en-US"/>
              </w:rPr>
              <w:t xml:space="preserve">nic Data Interchange For Administration, Commerce and Transport. </w:t>
            </w:r>
          </w:p>
          <w:p w:rsidR="00000000" w:rsidRDefault="00B636CE">
            <w:r>
              <w:t>Ensemble de recommandations approuvées, traduites sous forme de répertoire de messages normalisés</w:t>
            </w:r>
          </w:p>
          <w:p w:rsidR="00000000" w:rsidRDefault="00B636CE"/>
        </w:tc>
      </w:tr>
      <w:tr w:rsidR="00000000">
        <w:tblPrEx>
          <w:tblCellMar>
            <w:top w:w="0" w:type="dxa"/>
            <w:bottom w:w="0" w:type="dxa"/>
          </w:tblCellMar>
        </w:tblPrEx>
        <w:trPr>
          <w:cantSplit/>
        </w:trPr>
        <w:tc>
          <w:tcPr>
            <w:tcW w:w="1809" w:type="dxa"/>
          </w:tcPr>
          <w:p w:rsidR="00000000" w:rsidRDefault="00B636CE">
            <w:r>
              <w:t>EDIFRANCE</w:t>
            </w:r>
          </w:p>
        </w:tc>
        <w:tc>
          <w:tcPr>
            <w:tcW w:w="7811" w:type="dxa"/>
          </w:tcPr>
          <w:p w:rsidR="00000000" w:rsidRDefault="00B636CE">
            <w:r>
              <w:t xml:space="preserve">département spécialisé de l’AFNOR chargé de la normalisation et de la promotion </w:t>
            </w:r>
            <w:r>
              <w:t>de l’EDI</w:t>
            </w:r>
          </w:p>
          <w:p w:rsidR="00000000" w:rsidRDefault="00B636CE"/>
        </w:tc>
      </w:tr>
      <w:tr w:rsidR="00000000">
        <w:tblPrEx>
          <w:tblCellMar>
            <w:top w:w="0" w:type="dxa"/>
            <w:bottom w:w="0" w:type="dxa"/>
          </w:tblCellMar>
        </w:tblPrEx>
        <w:trPr>
          <w:cantSplit/>
        </w:trPr>
        <w:tc>
          <w:tcPr>
            <w:tcW w:w="1809" w:type="dxa"/>
          </w:tcPr>
          <w:p w:rsidR="00000000" w:rsidRDefault="00B636CE">
            <w:r>
              <w:t>EEP</w:t>
            </w:r>
          </w:p>
        </w:tc>
        <w:tc>
          <w:tcPr>
            <w:tcW w:w="7811" w:type="dxa"/>
          </w:tcPr>
          <w:p w:rsidR="00000000" w:rsidRDefault="00B636CE">
            <w:r>
              <w:t>Echanges Electroniques Professionnels</w:t>
            </w:r>
          </w:p>
          <w:p w:rsidR="00000000" w:rsidRDefault="00B636CE">
            <w:r>
              <w:t>Terme rassemblant toutes les technologies d’échanges numériques</w:t>
            </w:r>
          </w:p>
          <w:p w:rsidR="00000000" w:rsidRDefault="00B636CE"/>
        </w:tc>
      </w:tr>
      <w:tr w:rsidR="00000000">
        <w:tblPrEx>
          <w:tblCellMar>
            <w:top w:w="0" w:type="dxa"/>
            <w:bottom w:w="0" w:type="dxa"/>
          </w:tblCellMar>
        </w:tblPrEx>
        <w:trPr>
          <w:cantSplit/>
        </w:trPr>
        <w:tc>
          <w:tcPr>
            <w:tcW w:w="1809" w:type="dxa"/>
          </w:tcPr>
          <w:p w:rsidR="00000000" w:rsidRDefault="00B636CE">
            <w:r>
              <w:t>EFI</w:t>
            </w:r>
          </w:p>
        </w:tc>
        <w:tc>
          <w:tcPr>
            <w:tcW w:w="7811" w:type="dxa"/>
          </w:tcPr>
          <w:p w:rsidR="00000000" w:rsidRDefault="00B636CE">
            <w:r>
              <w:t>Echange de Fichiers Informatiques</w:t>
            </w:r>
          </w:p>
          <w:p w:rsidR="00000000" w:rsidRDefault="00B636CE"/>
        </w:tc>
      </w:tr>
      <w:tr w:rsidR="00000000">
        <w:tblPrEx>
          <w:tblCellMar>
            <w:top w:w="0" w:type="dxa"/>
            <w:bottom w:w="0" w:type="dxa"/>
          </w:tblCellMar>
        </w:tblPrEx>
        <w:trPr>
          <w:cantSplit/>
        </w:trPr>
        <w:tc>
          <w:tcPr>
            <w:tcW w:w="1809" w:type="dxa"/>
          </w:tcPr>
          <w:p w:rsidR="00000000" w:rsidRDefault="00B636CE">
            <w:r>
              <w:t>GENCOD</w:t>
            </w:r>
          </w:p>
        </w:tc>
        <w:tc>
          <w:tcPr>
            <w:tcW w:w="7811" w:type="dxa"/>
          </w:tcPr>
          <w:p w:rsidR="00000000" w:rsidRDefault="00B636CE">
            <w:r>
              <w:t>Association française de numérotation des articles (codes à barres) ( lié à la codificatio</w:t>
            </w:r>
            <w:r>
              <w:t>n internationale EAN)</w:t>
            </w:r>
          </w:p>
          <w:p w:rsidR="00000000" w:rsidRDefault="00B636CE"/>
        </w:tc>
      </w:tr>
      <w:tr w:rsidR="00000000">
        <w:tblPrEx>
          <w:tblCellMar>
            <w:top w:w="0" w:type="dxa"/>
            <w:bottom w:w="0" w:type="dxa"/>
          </w:tblCellMar>
        </w:tblPrEx>
        <w:trPr>
          <w:cantSplit/>
        </w:trPr>
        <w:tc>
          <w:tcPr>
            <w:tcW w:w="1809" w:type="dxa"/>
          </w:tcPr>
          <w:p w:rsidR="00000000" w:rsidRDefault="00B636CE">
            <w:r>
              <w:t>RVA</w:t>
            </w:r>
          </w:p>
        </w:tc>
        <w:tc>
          <w:tcPr>
            <w:tcW w:w="7811" w:type="dxa"/>
          </w:tcPr>
          <w:p w:rsidR="00000000" w:rsidRDefault="00B636CE">
            <w:r>
              <w:t>Réseau à Valeur Ajoutée</w:t>
            </w:r>
          </w:p>
          <w:p w:rsidR="00000000" w:rsidRDefault="00B636CE"/>
        </w:tc>
      </w:tr>
      <w:tr w:rsidR="00000000">
        <w:tblPrEx>
          <w:tblCellMar>
            <w:top w:w="0" w:type="dxa"/>
            <w:bottom w:w="0" w:type="dxa"/>
          </w:tblCellMar>
        </w:tblPrEx>
        <w:trPr>
          <w:cantSplit/>
          <w:trHeight w:val="931"/>
        </w:trPr>
        <w:tc>
          <w:tcPr>
            <w:tcW w:w="1809" w:type="dxa"/>
          </w:tcPr>
          <w:p w:rsidR="00000000" w:rsidRDefault="00B636CE">
            <w:r>
              <w:t>W3C</w:t>
            </w:r>
          </w:p>
        </w:tc>
        <w:tc>
          <w:tcPr>
            <w:tcW w:w="7811" w:type="dxa"/>
          </w:tcPr>
          <w:p w:rsidR="00000000" w:rsidRDefault="00B636CE">
            <w:r>
              <w:t>World Wide Web Consortium (consortium qui participe aux orientations du Web en terme d normalisation)</w:t>
            </w:r>
          </w:p>
          <w:p w:rsidR="00000000" w:rsidRDefault="00B636CE"/>
        </w:tc>
      </w:tr>
      <w:tr w:rsidR="00000000">
        <w:tblPrEx>
          <w:tblCellMar>
            <w:top w:w="0" w:type="dxa"/>
            <w:bottom w:w="0" w:type="dxa"/>
          </w:tblCellMar>
        </w:tblPrEx>
        <w:trPr>
          <w:cantSplit/>
        </w:trPr>
        <w:tc>
          <w:tcPr>
            <w:tcW w:w="1809" w:type="dxa"/>
          </w:tcPr>
          <w:p w:rsidR="00000000" w:rsidRDefault="00B636CE">
            <w:r>
              <w:t>XML</w:t>
            </w:r>
          </w:p>
        </w:tc>
        <w:tc>
          <w:tcPr>
            <w:tcW w:w="7811" w:type="dxa"/>
          </w:tcPr>
          <w:p w:rsidR="00000000" w:rsidRDefault="00B636CE">
            <w:r>
              <w:t xml:space="preserve">eXtensible Markup Language, normalisé par le W3C (souple, il ne s’appuie </w:t>
            </w:r>
            <w:r w:rsidR="008C3641">
              <w:t>pas</w:t>
            </w:r>
            <w:r>
              <w:t xml:space="preserve"> sur un répert</w:t>
            </w:r>
            <w:r>
              <w:t>oire figé comme Edifact)</w:t>
            </w:r>
          </w:p>
          <w:p w:rsidR="00000000" w:rsidRDefault="00B636CE"/>
        </w:tc>
      </w:tr>
    </w:tbl>
    <w:p w:rsidR="00000000" w:rsidRDefault="00B636CE">
      <w:pPr>
        <w:pStyle w:val="Titre1"/>
      </w:pPr>
    </w:p>
    <w:p w:rsidR="00000000" w:rsidRDefault="00B636CE">
      <w:pPr>
        <w:rPr>
          <w:rFonts w:ascii="Verdana" w:hAnsi="Verdana"/>
        </w:rPr>
      </w:pPr>
    </w:p>
    <w:p w:rsidR="00000000" w:rsidRDefault="00B636CE">
      <w:pPr>
        <w:rPr>
          <w:rFonts w:ascii="Verdana" w:hAnsi="Verdana"/>
        </w:rPr>
      </w:pPr>
    </w:p>
    <w:p w:rsidR="00000000" w:rsidRDefault="00B636CE">
      <w:pPr>
        <w:pStyle w:val="Titre3"/>
      </w:pPr>
      <w:r>
        <w:t>Mondialisation, compétitivité</w:t>
      </w:r>
    </w:p>
    <w:p w:rsidR="00000000" w:rsidRDefault="00B636CE"/>
    <w:p w:rsidR="00000000" w:rsidRDefault="00B636CE">
      <w:pPr>
        <w:pStyle w:val="BodyText3"/>
        <w:rPr>
          <w:rFonts w:ascii="Bookman Old Style" w:hAnsi="Bookman Old Style"/>
        </w:rPr>
      </w:pPr>
      <w:r>
        <w:rPr>
          <w:rFonts w:ascii="Bookman Old Style" w:hAnsi="Bookman Old Style"/>
        </w:rPr>
        <w:t xml:space="preserve">Les entreprises ont à faire face depuis une vingtaine d’années à des transformations de leur </w:t>
      </w:r>
      <w:r w:rsidR="008C3641">
        <w:rPr>
          <w:rFonts w:ascii="Bookman Old Style" w:hAnsi="Bookman Old Style"/>
        </w:rPr>
        <w:t>environnement :</w:t>
      </w:r>
      <w:r>
        <w:rPr>
          <w:rFonts w:ascii="Bookman Old Style" w:hAnsi="Bookman Old Style"/>
        </w:rPr>
        <w:t xml:space="preserve"> l’apparition de nouveaux concurrents dans les pays à faible revenu, la mondialisation des marchés.</w:t>
      </w:r>
    </w:p>
    <w:p w:rsidR="00000000" w:rsidRDefault="00B636CE"/>
    <w:p w:rsidR="00000000" w:rsidRDefault="00B636CE">
      <w:pPr>
        <w:pStyle w:val="BodyText3"/>
        <w:rPr>
          <w:rFonts w:ascii="Bookman Old Style" w:hAnsi="Bookman Old Style"/>
        </w:rPr>
      </w:pPr>
      <w:r>
        <w:rPr>
          <w:rFonts w:ascii="Bookman Old Style" w:hAnsi="Bookman Old Style"/>
        </w:rPr>
        <w:t>Elles ont obligation à s’adapter, à innover, afin d’être plus performantes. On assiste aujourd’hui à une extension des structures des entreprise</w:t>
      </w:r>
      <w:r>
        <w:rPr>
          <w:rFonts w:ascii="Bookman Old Style" w:hAnsi="Bookman Old Style"/>
        </w:rPr>
        <w:t>s, par appropriation d’autres entités ou par partenariat.</w:t>
      </w:r>
    </w:p>
    <w:p w:rsidR="00000000" w:rsidRDefault="00B636CE"/>
    <w:p w:rsidR="00000000" w:rsidRDefault="00B636CE">
      <w:pPr>
        <w:pStyle w:val="Titre3"/>
      </w:pPr>
      <w:r>
        <w:t>Les technologies de l’information</w:t>
      </w:r>
    </w:p>
    <w:p w:rsidR="00000000" w:rsidRDefault="00B636CE"/>
    <w:p w:rsidR="00000000" w:rsidRDefault="00B636CE">
      <w:r>
        <w:t>Les technologies de l’Informatique jouent un rôle très important dans ce mouvement en permettant le support, l’accompagnement de ces transformations et en sont pa</w:t>
      </w:r>
      <w:r>
        <w:t>rfois même le moteur.</w:t>
      </w:r>
    </w:p>
    <w:p w:rsidR="00000000" w:rsidRDefault="00B636CE">
      <w:r>
        <w:t xml:space="preserve">L’arrivée de l’Internet, tout d’abord à but institutionnel, puis à but marchand, a été la vitrine </w:t>
      </w:r>
      <w:r w:rsidR="008C3641">
        <w:t>de</w:t>
      </w:r>
      <w:r>
        <w:t xml:space="preserve"> ces Nouvelles Technologies de l’Information et de la Communication et a ouvert la voie à la globalisation des échanges.</w:t>
      </w:r>
    </w:p>
    <w:p w:rsidR="00000000" w:rsidRDefault="00B636CE"/>
    <w:p w:rsidR="00000000" w:rsidRDefault="00B636CE">
      <w:pPr>
        <w:pStyle w:val="Titre3"/>
      </w:pPr>
      <w:r>
        <w:t>L’EDI</w:t>
      </w:r>
    </w:p>
    <w:p w:rsidR="00000000" w:rsidRDefault="00B636CE"/>
    <w:p w:rsidR="00000000" w:rsidRDefault="00B636CE">
      <w:r>
        <w:t xml:space="preserve">Des </w:t>
      </w:r>
      <w:r>
        <w:t>technologies peu visibles du grand public ont réalisé un travail tout aussi important et leur rôle ne va cesser de grandir. Il s’agit des Echanges Electronique Professionnels (sigle EEP, apparut récemment pour regrouper toutes les techniques mises en œuvre</w:t>
      </w:r>
      <w:r>
        <w:t xml:space="preserve"> autour des échanges numériques). </w:t>
      </w:r>
    </w:p>
    <w:p w:rsidR="00000000" w:rsidRDefault="00B636CE">
      <w:r>
        <w:t>Un des grands précurseurs en a été l’EDI, l’Echange de Données Informatique ; depuis son apparition dans les années 1980, l’EDI n’a cessé de s’étendre, et même si aujourd’hui de nouvelles technologies font leur apparition</w:t>
      </w:r>
      <w:r>
        <w:t>, il reste le principe fondateur des échanges numériques.</w:t>
      </w:r>
    </w:p>
    <w:p w:rsidR="00000000" w:rsidRDefault="00B636CE"/>
    <w:p w:rsidR="00000000" w:rsidRDefault="00B636CE">
      <w:r>
        <w:t>Ces technologies doivent être maîtrisées sinon en totalité, au moins dans les concepts qui les dirigent. Leur connaissance sera essentielle pour tout professionnel de l’informatique, bien évidemment, mais de tout gestionnaire au se</w:t>
      </w:r>
      <w:r>
        <w:t>in de l’entreprise.</w:t>
      </w:r>
    </w:p>
    <w:p w:rsidR="00000000" w:rsidRDefault="00B636CE">
      <w:r>
        <w:t xml:space="preserve">Ces concepts essentiels regroupent l’EDI traditionnel avec ses normes </w:t>
      </w:r>
      <w:r w:rsidR="008C3641">
        <w:t>(EDIFACT</w:t>
      </w:r>
      <w:r>
        <w:t>,…), ses chemins de communications (RVA), mais aussi les évolutions qui sont à la porte des entreprises : le langage XML, et les moyens de communications nou</w:t>
      </w:r>
      <w:r>
        <w:t xml:space="preserve">veaux, tels les </w:t>
      </w:r>
      <w:r w:rsidR="008C3641">
        <w:t>Web Services</w:t>
      </w:r>
      <w:r>
        <w:t xml:space="preserve"> ou les EAI.</w:t>
      </w:r>
    </w:p>
    <w:p w:rsidR="00000000" w:rsidRDefault="00B636CE"/>
    <w:p w:rsidR="00000000" w:rsidRDefault="00B636CE">
      <w:pPr>
        <w:pStyle w:val="Titre1"/>
      </w:pPr>
      <w:bookmarkStart w:id="4" w:name="_Toc75570086"/>
      <w:r>
        <w:t>2 – Le Contexte organisationnel</w:t>
      </w:r>
      <w:bookmarkEnd w:id="4"/>
    </w:p>
    <w:p w:rsidR="00000000" w:rsidRDefault="00B636CE">
      <w:pPr>
        <w:rPr>
          <w:rFonts w:ascii="Verdana" w:hAnsi="Verdana"/>
        </w:rPr>
      </w:pPr>
    </w:p>
    <w:p w:rsidR="00000000" w:rsidRDefault="00B636CE" w:rsidP="008C3641">
      <w:r>
        <w:t>Ce</w:t>
      </w:r>
      <w:r w:rsidR="008C3641">
        <w:t>tte partie</w:t>
      </w:r>
      <w:r>
        <w:t xml:space="preserve"> </w:t>
      </w:r>
      <w:r w:rsidR="008C3641">
        <w:t>a</w:t>
      </w:r>
      <w:r>
        <w:t xml:space="preserve"> pour but de présenter les différentes organisations, les différents tiers, collaborant dans la mise en œuvr</w:t>
      </w:r>
      <w:r>
        <w:t xml:space="preserve">e d’une solution EDI à travers un exemple concret dans le domaine textile. </w:t>
      </w:r>
    </w:p>
    <w:p w:rsidR="00000000" w:rsidRDefault="00B636CE"/>
    <w:p w:rsidR="00000000" w:rsidRDefault="00B636CE">
      <w:r>
        <w:lastRenderedPageBreak/>
        <w:t>Celui-ci montre un cas de partenariat EDI, initié par un groupe international ayant des besoins impératifs de rationalisation de ses échanges, une nécessité de plus grande réactiv</w:t>
      </w:r>
      <w:r>
        <w:t>ité face aux évolutions du marché. Il décide alors de la mise en place de l’EDI avec ses fournisseurs et il impose cette solution à ceux-ci.</w:t>
      </w:r>
    </w:p>
    <w:p w:rsidR="00000000" w:rsidRDefault="00B636CE"/>
    <w:p w:rsidR="00000000" w:rsidRDefault="00B636CE">
      <w:pPr>
        <w:pStyle w:val="BodyText3"/>
        <w:rPr>
          <w:rFonts w:ascii="Bookman Old Style" w:hAnsi="Bookman Old Style"/>
        </w:rPr>
      </w:pPr>
      <w:r>
        <w:rPr>
          <w:rFonts w:ascii="Bookman Old Style" w:hAnsi="Bookman Old Style"/>
        </w:rPr>
        <w:t>Il montre que la mise en place d’EDI et ses retours sur investissements, dépendent largement de taille de l’entrep</w:t>
      </w:r>
      <w:r>
        <w:rPr>
          <w:rFonts w:ascii="Bookman Old Style" w:hAnsi="Bookman Old Style"/>
        </w:rPr>
        <w:t>rise, donc du volume et du nombre des flux avec ses partenaires et du secteur d’activité de l’entreprise.</w:t>
      </w:r>
    </w:p>
    <w:p w:rsidR="00000000" w:rsidRDefault="00B636CE"/>
    <w:p w:rsidR="00000000" w:rsidRDefault="00B636CE">
      <w:pPr>
        <w:pStyle w:val="Titre2"/>
      </w:pPr>
      <w:bookmarkStart w:id="5" w:name="_Toc75570087"/>
      <w:r>
        <w:t>2.1 Un tiers Client, donneur d’ordres</w:t>
      </w:r>
      <w:bookmarkEnd w:id="5"/>
    </w:p>
    <w:p w:rsidR="00000000" w:rsidRDefault="00B636CE"/>
    <w:p w:rsidR="00000000" w:rsidRDefault="00B636CE" w:rsidP="000368EF">
      <w:r>
        <w:t xml:space="preserve">Le groupe </w:t>
      </w:r>
      <w:r w:rsidR="000368EF">
        <w:t>X</w:t>
      </w:r>
      <w:r>
        <w:t xml:space="preserve">, dont le siège se trouve en </w:t>
      </w:r>
      <w:r w:rsidR="000368EF">
        <w:t>Y</w:t>
      </w:r>
      <w:r>
        <w:t>, est l’un des leaders dans la conception et</w:t>
      </w:r>
      <w:r>
        <w:t xml:space="preserve"> la fabrication de lingerie. Son chiffre d’affaire </w:t>
      </w:r>
      <w:r w:rsidR="008C3641">
        <w:t>a</w:t>
      </w:r>
      <w:r>
        <w:t xml:space="preserve"> atteint 1.6 milliard d’euros en 2003. </w:t>
      </w:r>
    </w:p>
    <w:p w:rsidR="00000000" w:rsidRDefault="00B636CE">
      <w:r>
        <w:t>Implanté initialement en Allemagne et en Suisse, il a tissé un réseau d’unités de fabrication à travers le monde entier.</w:t>
      </w:r>
    </w:p>
    <w:p w:rsidR="00000000" w:rsidRDefault="00B636CE"/>
    <w:p w:rsidR="00000000" w:rsidRDefault="00B636CE">
      <w:r>
        <w:t>Conscient des avantages à tirer d’une info</w:t>
      </w:r>
      <w:r>
        <w:t>rmatisation des échanges avec ses partenaires, il s’engage dans la voie de l’EDI dans les années 1995 et fait parvenir à ses fournisseurs un cahier des charges relatif à la mise en place de cet outil.</w:t>
      </w:r>
    </w:p>
    <w:p w:rsidR="00000000" w:rsidRDefault="00B636CE"/>
    <w:p w:rsidR="00000000" w:rsidRDefault="00B636CE"/>
    <w:p w:rsidR="00000000" w:rsidRDefault="00B636CE">
      <w:pPr>
        <w:rPr>
          <w:bCs/>
          <w:u w:val="single"/>
        </w:rPr>
      </w:pPr>
      <w:r>
        <w:rPr>
          <w:bCs/>
          <w:u w:val="single"/>
        </w:rPr>
        <w:t>Eléments clefs :</w:t>
      </w:r>
    </w:p>
    <w:p w:rsidR="00000000" w:rsidRDefault="00B636CE">
      <w:pPr>
        <w:numPr>
          <w:ilvl w:val="0"/>
          <w:numId w:val="2"/>
        </w:numPr>
        <w:tabs>
          <w:tab w:val="left" w:pos="720"/>
        </w:tabs>
        <w:ind w:left="720"/>
      </w:pPr>
      <w:r>
        <w:t>Entreprise Multinationale, 38000 emp</w:t>
      </w:r>
      <w:r>
        <w:t>loyés, CA env.1.6 Milliards Euros</w:t>
      </w:r>
    </w:p>
    <w:p w:rsidR="00000000" w:rsidRDefault="00B636CE">
      <w:pPr>
        <w:numPr>
          <w:ilvl w:val="0"/>
          <w:numId w:val="2"/>
        </w:numPr>
        <w:tabs>
          <w:tab w:val="left" w:pos="720"/>
        </w:tabs>
        <w:ind w:left="720"/>
      </w:pPr>
      <w:r>
        <w:t>Domaine Textile, mode, fabrication de lingerie</w:t>
      </w:r>
    </w:p>
    <w:p w:rsidR="00000000" w:rsidRDefault="00B636CE" w:rsidP="000368EF">
      <w:pPr>
        <w:numPr>
          <w:ilvl w:val="0"/>
          <w:numId w:val="2"/>
        </w:numPr>
        <w:tabs>
          <w:tab w:val="left" w:pos="720"/>
        </w:tabs>
        <w:ind w:left="720"/>
      </w:pPr>
      <w:r>
        <w:t xml:space="preserve">Siège en </w:t>
      </w:r>
      <w:r w:rsidR="000368EF">
        <w:t>Y</w:t>
      </w:r>
      <w:r>
        <w:t>, filiales dans e monde entier</w:t>
      </w:r>
    </w:p>
    <w:p w:rsidR="00000000" w:rsidRDefault="00B636CE">
      <w:pPr>
        <w:numPr>
          <w:ilvl w:val="0"/>
          <w:numId w:val="2"/>
        </w:numPr>
        <w:tabs>
          <w:tab w:val="left" w:pos="720"/>
        </w:tabs>
        <w:ind w:left="720"/>
      </w:pPr>
      <w:r>
        <w:t>depuis 1886</w:t>
      </w:r>
    </w:p>
    <w:p w:rsidR="00000000" w:rsidRDefault="00B636CE">
      <w:pPr>
        <w:numPr>
          <w:ilvl w:val="0"/>
          <w:numId w:val="2"/>
        </w:numPr>
        <w:tabs>
          <w:tab w:val="left" w:pos="720"/>
        </w:tabs>
        <w:ind w:left="720"/>
      </w:pPr>
      <w:r>
        <w:t>Fournisseurs : les fabricants de textiles, principalement de Dentelles</w:t>
      </w:r>
    </w:p>
    <w:p w:rsidR="00000000" w:rsidRDefault="00B636CE">
      <w:pPr>
        <w:numPr>
          <w:ilvl w:val="0"/>
          <w:numId w:val="2"/>
        </w:numPr>
        <w:tabs>
          <w:tab w:val="left" w:pos="720"/>
        </w:tabs>
        <w:ind w:left="720"/>
      </w:pPr>
      <w:r>
        <w:t xml:space="preserve">Clients : les boutiques de lingerie </w:t>
      </w:r>
    </w:p>
    <w:p w:rsidR="00000000" w:rsidRDefault="00B636CE"/>
    <w:p w:rsidR="000368EF" w:rsidRDefault="000368EF">
      <w:pPr>
        <w:pStyle w:val="Titre2"/>
      </w:pPr>
      <w:bookmarkStart w:id="6" w:name="_Toc75570088"/>
    </w:p>
    <w:p w:rsidR="000368EF" w:rsidRDefault="000368EF">
      <w:pPr>
        <w:pStyle w:val="Titre2"/>
      </w:pPr>
    </w:p>
    <w:p w:rsidR="000368EF" w:rsidRDefault="000368EF">
      <w:pPr>
        <w:pStyle w:val="Titre2"/>
      </w:pPr>
    </w:p>
    <w:p w:rsidR="00000000" w:rsidRDefault="00B636CE">
      <w:pPr>
        <w:pStyle w:val="Titre2"/>
      </w:pPr>
      <w:r>
        <w:t>2.2 Un tiers Fournisseur</w:t>
      </w:r>
      <w:bookmarkEnd w:id="6"/>
    </w:p>
    <w:p w:rsidR="00000000" w:rsidRDefault="00B636CE">
      <w:pPr>
        <w:pStyle w:val="BodyText3"/>
        <w:rPr>
          <w:rFonts w:ascii="Bookman Old Style" w:hAnsi="Bookman Old Style"/>
        </w:rPr>
      </w:pPr>
    </w:p>
    <w:p w:rsidR="00000000" w:rsidRDefault="00B636CE" w:rsidP="000368EF">
      <w:pPr>
        <w:pStyle w:val="BodyText3"/>
        <w:rPr>
          <w:rFonts w:ascii="Bookman Old Style" w:hAnsi="Bookman Old Style"/>
        </w:rPr>
      </w:pPr>
      <w:r>
        <w:rPr>
          <w:rFonts w:ascii="Bookman Old Style" w:hAnsi="Bookman Old Style"/>
        </w:rPr>
        <w:t xml:space="preserve">Créée dans les années 1950, l’entreprise </w:t>
      </w:r>
      <w:r w:rsidR="000368EF">
        <w:rPr>
          <w:rFonts w:ascii="Bookman Old Style" w:hAnsi="Bookman Old Style"/>
        </w:rPr>
        <w:t>A</w:t>
      </w:r>
      <w:r>
        <w:rPr>
          <w:rFonts w:ascii="Bookman Old Style" w:hAnsi="Bookman Old Style"/>
        </w:rPr>
        <w:t>, alors petit négociant en produits textiles, a su se hisser parmi les leaders mondiaux</w:t>
      </w:r>
      <w:r>
        <w:rPr>
          <w:rFonts w:ascii="Bookman Old Style" w:hAnsi="Bookman Old Style"/>
        </w:rPr>
        <w:t xml:space="preserve"> dans le domaine de la  production de Dentelles.</w:t>
      </w:r>
    </w:p>
    <w:p w:rsidR="00000000" w:rsidRDefault="00B636CE">
      <w:pPr>
        <w:pStyle w:val="BodyText3"/>
        <w:rPr>
          <w:rFonts w:ascii="Bookman Old Style" w:hAnsi="Bookman Old Style"/>
        </w:rPr>
      </w:pPr>
    </w:p>
    <w:p w:rsidR="00000000" w:rsidRDefault="00B636CE">
      <w:pPr>
        <w:pStyle w:val="BodyText3"/>
        <w:rPr>
          <w:rFonts w:ascii="Bookman Old Style" w:hAnsi="Bookman Old Style"/>
        </w:rPr>
      </w:pPr>
      <w:r>
        <w:rPr>
          <w:rFonts w:ascii="Bookman Old Style" w:hAnsi="Bookman Old Style"/>
        </w:rPr>
        <w:t xml:space="preserve">Pour parvenir à conquérir de nouveaux marchés, l’entreprise a </w:t>
      </w:r>
      <w:r w:rsidR="008C3641">
        <w:rPr>
          <w:rFonts w:ascii="Bookman Old Style" w:hAnsi="Bookman Old Style"/>
        </w:rPr>
        <w:t>dû</w:t>
      </w:r>
      <w:r>
        <w:rPr>
          <w:rFonts w:ascii="Bookman Old Style" w:hAnsi="Bookman Old Style"/>
        </w:rPr>
        <w:t xml:space="preserve"> investir :</w:t>
      </w:r>
    </w:p>
    <w:p w:rsidR="00000000" w:rsidRDefault="00B636CE">
      <w:pPr>
        <w:pStyle w:val="BodyText3"/>
        <w:numPr>
          <w:ilvl w:val="0"/>
          <w:numId w:val="1"/>
        </w:numPr>
        <w:tabs>
          <w:tab w:val="left" w:pos="720"/>
        </w:tabs>
        <w:ind w:left="720"/>
        <w:rPr>
          <w:rFonts w:ascii="Bookman Old Style" w:hAnsi="Bookman Old Style"/>
        </w:rPr>
      </w:pPr>
      <w:r>
        <w:rPr>
          <w:rFonts w:ascii="Bookman Old Style" w:hAnsi="Bookman Old Style"/>
        </w:rPr>
        <w:t>en ressources humaines : ses effectifs ont atteint 450 salariés</w:t>
      </w:r>
    </w:p>
    <w:p w:rsidR="00000000" w:rsidRDefault="00B636CE">
      <w:pPr>
        <w:pStyle w:val="BodyText3"/>
        <w:numPr>
          <w:ilvl w:val="0"/>
          <w:numId w:val="1"/>
        </w:numPr>
        <w:tabs>
          <w:tab w:val="left" w:pos="720"/>
        </w:tabs>
        <w:ind w:left="720"/>
        <w:rPr>
          <w:rFonts w:ascii="Bookman Old Style" w:hAnsi="Bookman Old Style"/>
        </w:rPr>
      </w:pPr>
      <w:r>
        <w:rPr>
          <w:rFonts w:ascii="Bookman Old Style" w:hAnsi="Bookman Old Style"/>
        </w:rPr>
        <w:t>en technologie :</w:t>
      </w:r>
    </w:p>
    <w:p w:rsidR="00000000" w:rsidRDefault="00B636CE">
      <w:pPr>
        <w:pStyle w:val="BodyText3"/>
        <w:numPr>
          <w:ilvl w:val="1"/>
          <w:numId w:val="1"/>
        </w:numPr>
        <w:tabs>
          <w:tab w:val="left" w:pos="1440"/>
        </w:tabs>
        <w:ind w:left="1440"/>
        <w:rPr>
          <w:rFonts w:ascii="Bookman Old Style" w:hAnsi="Bookman Old Style"/>
        </w:rPr>
      </w:pPr>
      <w:r>
        <w:rPr>
          <w:rFonts w:ascii="Bookman Old Style" w:hAnsi="Bookman Old Style"/>
        </w:rPr>
        <w:t>de production : métiers à tisser et machines à te</w:t>
      </w:r>
      <w:r>
        <w:rPr>
          <w:rFonts w:ascii="Bookman Old Style" w:hAnsi="Bookman Old Style"/>
        </w:rPr>
        <w:t>indre pilotées par ordinateur</w:t>
      </w:r>
    </w:p>
    <w:p w:rsidR="00000000" w:rsidRDefault="00B636CE">
      <w:pPr>
        <w:pStyle w:val="BodyText3"/>
        <w:numPr>
          <w:ilvl w:val="1"/>
          <w:numId w:val="1"/>
        </w:numPr>
        <w:tabs>
          <w:tab w:val="left" w:pos="1440"/>
        </w:tabs>
        <w:ind w:left="1440"/>
        <w:rPr>
          <w:rFonts w:ascii="Bookman Old Style" w:hAnsi="Bookman Old Style"/>
        </w:rPr>
      </w:pPr>
      <w:r>
        <w:rPr>
          <w:rFonts w:ascii="Bookman Old Style" w:hAnsi="Bookman Old Style"/>
        </w:rPr>
        <w:t xml:space="preserve">de création : stations de travail et logiciels de DAO </w:t>
      </w:r>
    </w:p>
    <w:p w:rsidR="00000000" w:rsidRDefault="00B636CE">
      <w:pPr>
        <w:pStyle w:val="BodyText3"/>
        <w:numPr>
          <w:ilvl w:val="0"/>
          <w:numId w:val="1"/>
        </w:numPr>
        <w:tabs>
          <w:tab w:val="left" w:pos="720"/>
        </w:tabs>
        <w:ind w:left="720"/>
        <w:rPr>
          <w:rFonts w:ascii="Bookman Old Style" w:hAnsi="Bookman Old Style"/>
        </w:rPr>
      </w:pPr>
      <w:r>
        <w:rPr>
          <w:rFonts w:ascii="Bookman Old Style" w:hAnsi="Bookman Old Style"/>
        </w:rPr>
        <w:t>en recherche : nouvelles fibres textiles et nouveaux coloris</w:t>
      </w:r>
    </w:p>
    <w:p w:rsidR="00000000" w:rsidRDefault="00B636CE">
      <w:pPr>
        <w:pStyle w:val="BodyText3"/>
        <w:numPr>
          <w:ilvl w:val="0"/>
          <w:numId w:val="1"/>
        </w:numPr>
        <w:tabs>
          <w:tab w:val="left" w:pos="720"/>
        </w:tabs>
        <w:ind w:left="720"/>
        <w:rPr>
          <w:rFonts w:ascii="Bookman Old Style" w:hAnsi="Bookman Old Style"/>
        </w:rPr>
      </w:pPr>
      <w:r>
        <w:rPr>
          <w:rFonts w:ascii="Bookman Old Style" w:hAnsi="Bookman Old Style"/>
        </w:rPr>
        <w:t>en organisation :</w:t>
      </w:r>
    </w:p>
    <w:p w:rsidR="00000000" w:rsidRDefault="00B636CE">
      <w:pPr>
        <w:pStyle w:val="BodyText3"/>
        <w:numPr>
          <w:ilvl w:val="1"/>
          <w:numId w:val="1"/>
        </w:numPr>
        <w:tabs>
          <w:tab w:val="left" w:pos="1440"/>
        </w:tabs>
        <w:ind w:left="1440"/>
        <w:rPr>
          <w:rFonts w:ascii="Bookman Old Style" w:hAnsi="Bookman Old Style"/>
        </w:rPr>
      </w:pPr>
      <w:r>
        <w:rPr>
          <w:rFonts w:ascii="Bookman Old Style" w:hAnsi="Bookman Old Style"/>
        </w:rPr>
        <w:t>mise en place d’une démarche Qualité</w:t>
      </w:r>
    </w:p>
    <w:p w:rsidR="00000000" w:rsidRDefault="00B636CE">
      <w:pPr>
        <w:pStyle w:val="BodyText3"/>
        <w:numPr>
          <w:ilvl w:val="1"/>
          <w:numId w:val="1"/>
        </w:numPr>
        <w:tabs>
          <w:tab w:val="left" w:pos="1440"/>
        </w:tabs>
        <w:ind w:left="1440"/>
        <w:rPr>
          <w:rFonts w:ascii="Bookman Old Style" w:hAnsi="Bookman Old Style"/>
        </w:rPr>
      </w:pPr>
      <w:r>
        <w:rPr>
          <w:rFonts w:ascii="Bookman Old Style" w:hAnsi="Bookman Old Style"/>
        </w:rPr>
        <w:lastRenderedPageBreak/>
        <w:t>rationalisation des processus de production</w:t>
      </w:r>
    </w:p>
    <w:p w:rsidR="00000000" w:rsidRDefault="00B636CE">
      <w:pPr>
        <w:pStyle w:val="BodyText3"/>
        <w:numPr>
          <w:ilvl w:val="1"/>
          <w:numId w:val="1"/>
        </w:numPr>
        <w:tabs>
          <w:tab w:val="left" w:pos="1440"/>
        </w:tabs>
        <w:ind w:left="1440"/>
        <w:rPr>
          <w:rFonts w:ascii="Bookman Old Style" w:hAnsi="Bookman Old Style"/>
        </w:rPr>
      </w:pPr>
      <w:r>
        <w:rPr>
          <w:rFonts w:ascii="Bookman Old Style" w:hAnsi="Bookman Old Style"/>
        </w:rPr>
        <w:t>déploiement</w:t>
      </w:r>
      <w:r>
        <w:rPr>
          <w:rFonts w:ascii="Bookman Old Style" w:hAnsi="Bookman Old Style"/>
        </w:rPr>
        <w:t xml:space="preserve"> de bureaux de ventes en Europe, Asie et Etats-Unis</w:t>
      </w:r>
    </w:p>
    <w:p w:rsidR="00000000" w:rsidRDefault="00B636CE">
      <w:pPr>
        <w:pStyle w:val="BodyText3"/>
        <w:rPr>
          <w:rFonts w:ascii="Bookman Old Style" w:hAnsi="Bookman Old Style"/>
        </w:rPr>
      </w:pPr>
    </w:p>
    <w:p w:rsidR="00000000" w:rsidRDefault="00B636CE">
      <w:pPr>
        <w:pStyle w:val="BodyText3"/>
        <w:rPr>
          <w:rFonts w:ascii="Bookman Old Style" w:hAnsi="Bookman Old Style"/>
        </w:rPr>
      </w:pPr>
      <w:r>
        <w:rPr>
          <w:rFonts w:ascii="Bookman Old Style" w:hAnsi="Bookman Old Style"/>
        </w:rPr>
        <w:t>Elle a su se doter très tôt d’un système informatique, qui sans être à la pointe de la technologie, a su évoluer et répondre aux besoins sans cesse croissant en terme d’informations.</w:t>
      </w:r>
    </w:p>
    <w:p w:rsidR="00000000" w:rsidRDefault="00B636CE">
      <w:pPr>
        <w:pStyle w:val="BodyText3"/>
        <w:rPr>
          <w:rFonts w:ascii="Bookman Old Style" w:hAnsi="Bookman Old Style"/>
        </w:rPr>
      </w:pPr>
    </w:p>
    <w:p w:rsidR="00000000" w:rsidRDefault="00B636CE" w:rsidP="000368EF">
      <w:pPr>
        <w:pStyle w:val="BodyText3"/>
        <w:rPr>
          <w:rFonts w:ascii="Bookman Old Style" w:hAnsi="Bookman Old Style"/>
        </w:rPr>
      </w:pPr>
      <w:r>
        <w:rPr>
          <w:rFonts w:ascii="Bookman Old Style" w:hAnsi="Bookman Old Style"/>
        </w:rPr>
        <w:t>Comme beaucoup d’en</w:t>
      </w:r>
      <w:r>
        <w:rPr>
          <w:rFonts w:ascii="Bookman Old Style" w:hAnsi="Bookman Old Style"/>
        </w:rPr>
        <w:t xml:space="preserve">treprises dynamiques, elle a été acquise par un groupe textile anglais d’envergure internationale en 1990. Suite à des difficultés, il s’en est séparée 10 années plus tard. </w:t>
      </w:r>
    </w:p>
    <w:p w:rsidR="00000000" w:rsidRDefault="00B636CE">
      <w:r>
        <w:t>La morosité de la con</w:t>
      </w:r>
      <w:r>
        <w:t xml:space="preserve">joncture a obligé l’entreprise pour survivre à opérer des restructurations et à envisager la création de nouvelles activités délocalisées. </w:t>
      </w:r>
    </w:p>
    <w:p w:rsidR="00000000" w:rsidRDefault="00B636CE"/>
    <w:p w:rsidR="00000000" w:rsidRDefault="00B636CE" w:rsidP="000368EF">
      <w:r>
        <w:t xml:space="preserve">La société </w:t>
      </w:r>
      <w:r w:rsidR="000368EF">
        <w:t>X</w:t>
      </w:r>
      <w:r>
        <w:t xml:space="preserve"> représente un client important (part important du chiffre d’affaires, dans les Top Ten), et sa r</w:t>
      </w:r>
      <w:r>
        <w:t>equête est étudiée avec attention. Toutefois, le choix de refuser n’est pas offert.</w:t>
      </w:r>
    </w:p>
    <w:p w:rsidR="00000000" w:rsidRDefault="00B636CE"/>
    <w:p w:rsidR="00000000" w:rsidRDefault="00B636CE"/>
    <w:p w:rsidR="00000000" w:rsidRDefault="00B636CE">
      <w:pPr>
        <w:rPr>
          <w:bCs/>
          <w:u w:val="single"/>
        </w:rPr>
      </w:pPr>
      <w:r>
        <w:rPr>
          <w:bCs/>
          <w:u w:val="single"/>
        </w:rPr>
        <w:t>Eléments clefs :</w:t>
      </w:r>
    </w:p>
    <w:p w:rsidR="00000000" w:rsidRDefault="00B636CE">
      <w:pPr>
        <w:numPr>
          <w:ilvl w:val="0"/>
          <w:numId w:val="2"/>
        </w:numPr>
        <w:tabs>
          <w:tab w:val="left" w:pos="720"/>
        </w:tabs>
        <w:ind w:left="720"/>
      </w:pPr>
      <w:r>
        <w:t>PME-PMI, 300 employés, CA env.40 MEuros, lié aux courants de la mode</w:t>
      </w:r>
    </w:p>
    <w:p w:rsidR="00000000" w:rsidRDefault="00B636CE">
      <w:pPr>
        <w:numPr>
          <w:ilvl w:val="0"/>
          <w:numId w:val="2"/>
        </w:numPr>
        <w:tabs>
          <w:tab w:val="left" w:pos="720"/>
        </w:tabs>
        <w:ind w:left="720"/>
      </w:pPr>
      <w:r>
        <w:t>Domaine Textile, fabrication de Dentelles</w:t>
      </w:r>
    </w:p>
    <w:p w:rsidR="00000000" w:rsidRDefault="00B636CE">
      <w:pPr>
        <w:numPr>
          <w:ilvl w:val="0"/>
          <w:numId w:val="2"/>
        </w:numPr>
        <w:tabs>
          <w:tab w:val="left" w:pos="720"/>
        </w:tabs>
        <w:ind w:left="720"/>
      </w:pPr>
      <w:r>
        <w:t>Siège et 4 usines en France, des bureaux e</w:t>
      </w:r>
      <w:r>
        <w:t>n Europe, Asie et aux USA</w:t>
      </w:r>
    </w:p>
    <w:p w:rsidR="00000000" w:rsidRDefault="00B636CE">
      <w:pPr>
        <w:numPr>
          <w:ilvl w:val="0"/>
          <w:numId w:val="2"/>
        </w:numPr>
        <w:tabs>
          <w:tab w:val="left" w:pos="720"/>
        </w:tabs>
        <w:ind w:left="720"/>
      </w:pPr>
      <w:r>
        <w:t>Entreprise familiale de 1950 à 1990, intégrée à un groupe ensuite</w:t>
      </w:r>
    </w:p>
    <w:p w:rsidR="00000000" w:rsidRDefault="00B636CE">
      <w:pPr>
        <w:numPr>
          <w:ilvl w:val="0"/>
          <w:numId w:val="2"/>
        </w:numPr>
        <w:tabs>
          <w:tab w:val="left" w:pos="720"/>
        </w:tabs>
        <w:ind w:left="720"/>
      </w:pPr>
      <w:r>
        <w:t>Fournisseurs : les fabricants de fils et colorants</w:t>
      </w:r>
    </w:p>
    <w:p w:rsidR="00000000" w:rsidRDefault="00B636CE">
      <w:pPr>
        <w:numPr>
          <w:ilvl w:val="0"/>
          <w:numId w:val="2"/>
        </w:numPr>
        <w:tabs>
          <w:tab w:val="left" w:pos="720"/>
        </w:tabs>
        <w:ind w:left="720"/>
      </w:pPr>
      <w:r>
        <w:t>Clients : les fabricants de lingerie (40% France, 60% Export)</w:t>
      </w:r>
    </w:p>
    <w:p w:rsidR="00000000" w:rsidRDefault="00B636CE">
      <w:pPr>
        <w:rPr>
          <w:lang w:val="nl-NL"/>
        </w:rPr>
      </w:pPr>
    </w:p>
    <w:p w:rsidR="000368EF" w:rsidRDefault="000368EF" w:rsidP="000368EF">
      <w:pPr>
        <w:pStyle w:val="Figures"/>
      </w:pPr>
      <w:bookmarkStart w:id="7" w:name="_Toc75570137"/>
      <w:r>
        <w:t>Fig. 1 : Les relations client-fournisseur</w:t>
      </w:r>
      <w:bookmarkEnd w:id="7"/>
    </w:p>
    <w:p w:rsidR="00000000" w:rsidRPr="00AB288A" w:rsidRDefault="000368EF">
      <w:pPr>
        <w:rPr>
          <w:lang w:val="en-US"/>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4" type="#_x0000_t75" style="position:absolute;left:0;text-align:left;margin-left:8.55pt;margin-top:7pt;width:529.8pt;height:264pt;z-index:2" fillcolor="#0c9">
            <v:imagedata r:id="rId7" o:title=""/>
          </v:shape>
        </w:pict>
      </w:r>
    </w:p>
    <w:p w:rsidR="00000000" w:rsidRPr="00AB288A" w:rsidRDefault="00B636CE">
      <w:pPr>
        <w:rPr>
          <w:lang w:val="en-US"/>
        </w:rPr>
      </w:pPr>
    </w:p>
    <w:p w:rsidR="00000000" w:rsidRPr="00AB288A" w:rsidRDefault="000368EF">
      <w:pPr>
        <w:rPr>
          <w:lang w:val="en-US"/>
        </w:rPr>
      </w:pPr>
      <w:r>
        <w:rPr>
          <w:noProof/>
          <w:lang w:eastAsia="zh-CN"/>
        </w:rPr>
        <w:pict>
          <v:rect id="_x0000_s1309" style="position:absolute;left:0;text-align:left;margin-left:361.6pt;margin-top:5.4pt;width:97.6pt;height:25.6pt;z-index:13"/>
        </w:pict>
      </w:r>
      <w:r>
        <w:rPr>
          <w:noProof/>
          <w:lang w:eastAsia="zh-CN"/>
        </w:rPr>
        <w:pict>
          <v:rect id="_x0000_s1308" style="position:absolute;left:0;text-align:left;margin-left:82.4pt;margin-top:11pt;width:97.6pt;height:25.6pt;z-index:12"/>
        </w:pict>
      </w: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Pr="00AB288A" w:rsidRDefault="00B636CE">
      <w:pPr>
        <w:rPr>
          <w:lang w:val="en-US"/>
        </w:rPr>
      </w:pPr>
    </w:p>
    <w:p w:rsidR="00000000" w:rsidRDefault="00B636CE"/>
    <w:p w:rsidR="00000000" w:rsidRDefault="00B636CE"/>
    <w:p w:rsidR="00000000" w:rsidRDefault="00B636CE"/>
    <w:p w:rsidR="00000000" w:rsidRDefault="00B636CE">
      <w:pPr>
        <w:pStyle w:val="Titre2"/>
      </w:pPr>
      <w:bookmarkStart w:id="8" w:name="_Toc75570089"/>
      <w:r>
        <w:t>2.3 Un tiers prestataire de services Réseau (RVA)</w:t>
      </w:r>
      <w:bookmarkEnd w:id="8"/>
    </w:p>
    <w:p w:rsidR="00000000" w:rsidRDefault="00B636CE"/>
    <w:p w:rsidR="00000000" w:rsidRDefault="00B636CE">
      <w:r>
        <w:t>La société IBM, précurseur dans le monde informatique, leader du domaine des machines et systèmes d’exploitation des machines de gestion dans les années</w:t>
      </w:r>
      <w:r>
        <w:t xml:space="preserve"> 60 à 90, a </w:t>
      </w:r>
      <w:r w:rsidR="008C3641">
        <w:t>dû</w:t>
      </w:r>
      <w:r>
        <w:t xml:space="preserve"> faire face, comme toutes les autres entreprises à la concurrence. </w:t>
      </w:r>
    </w:p>
    <w:p w:rsidR="00000000" w:rsidRDefault="00B636CE"/>
    <w:p w:rsidR="00000000" w:rsidRDefault="00B636CE">
      <w:r>
        <w:t>La diversification a été un moyen de maintenir sa croissance et la société a créé un pôle Fournisseur de RVA, réseau à valeur ajoutée. Il s’agissait, aux alentours des année</w:t>
      </w:r>
      <w:r>
        <w:t>s 1980, de mettre en œuvre les supports réseau d’échanges de messages commerciaux sécurisés. C’est l’offre IBM-GS (Global Service).</w:t>
      </w:r>
    </w:p>
    <w:p w:rsidR="00000000" w:rsidRDefault="00B636CE"/>
    <w:p w:rsidR="00000000" w:rsidRDefault="00B636CE">
      <w:pPr>
        <w:rPr>
          <w:lang w:val="nl-NL"/>
        </w:rPr>
      </w:pPr>
    </w:p>
    <w:p w:rsidR="00000000" w:rsidRDefault="00B636CE"/>
    <w:p w:rsidR="00000000" w:rsidRDefault="00B636CE">
      <w:pPr>
        <w:rPr>
          <w:bCs/>
          <w:u w:val="single"/>
        </w:rPr>
      </w:pPr>
      <w:r>
        <w:rPr>
          <w:bCs/>
          <w:u w:val="single"/>
        </w:rPr>
        <w:t>Eléments clefs :</w:t>
      </w:r>
    </w:p>
    <w:p w:rsidR="00000000" w:rsidRDefault="00B636CE">
      <w:pPr>
        <w:numPr>
          <w:ilvl w:val="0"/>
          <w:numId w:val="2"/>
        </w:numPr>
        <w:tabs>
          <w:tab w:val="left" w:pos="720"/>
        </w:tabs>
        <w:ind w:left="720"/>
      </w:pPr>
      <w:r>
        <w:t xml:space="preserve">Entreprise multinationale, 300.000 employés, CA env.90 milliards Euros, </w:t>
      </w:r>
    </w:p>
    <w:p w:rsidR="00000000" w:rsidRDefault="00B636CE">
      <w:pPr>
        <w:numPr>
          <w:ilvl w:val="0"/>
          <w:numId w:val="2"/>
        </w:numPr>
        <w:tabs>
          <w:tab w:val="left" w:pos="720"/>
        </w:tabs>
        <w:ind w:left="720"/>
      </w:pPr>
      <w:r>
        <w:t>Domaine Informatique, services</w:t>
      </w:r>
    </w:p>
    <w:p w:rsidR="00000000" w:rsidRDefault="00B636CE">
      <w:pPr>
        <w:numPr>
          <w:ilvl w:val="0"/>
          <w:numId w:val="2"/>
        </w:numPr>
        <w:tabs>
          <w:tab w:val="left" w:pos="720"/>
        </w:tabs>
        <w:ind w:left="720"/>
      </w:pPr>
      <w:r>
        <w:t>Depuis 1914</w:t>
      </w:r>
    </w:p>
    <w:p w:rsidR="00000000" w:rsidRDefault="00B636CE">
      <w:pPr>
        <w:pStyle w:val="En-tte"/>
        <w:tabs>
          <w:tab w:val="clear" w:pos="4536"/>
          <w:tab w:val="clear" w:pos="9072"/>
        </w:tabs>
        <w:rPr>
          <w:lang w:val="nl-NL"/>
        </w:rPr>
      </w:pPr>
    </w:p>
    <w:p w:rsidR="00000000" w:rsidRPr="00AB288A" w:rsidRDefault="00B636CE">
      <w:pPr>
        <w:pStyle w:val="En-tte"/>
        <w:tabs>
          <w:tab w:val="clear" w:pos="4536"/>
          <w:tab w:val="clear" w:pos="9072"/>
        </w:tabs>
        <w:rPr>
          <w:lang w:val="en-US"/>
        </w:rPr>
      </w:pPr>
    </w:p>
    <w:p w:rsidR="00000000" w:rsidRDefault="00B636CE">
      <w:pPr>
        <w:pStyle w:val="Titre2"/>
      </w:pPr>
      <w:bookmarkStart w:id="9" w:name="_Toc75570090"/>
      <w:r>
        <w:t>2.4 Un tiers prestataire de services Logiciels EDI</w:t>
      </w:r>
      <w:bookmarkEnd w:id="9"/>
    </w:p>
    <w:p w:rsidR="00000000" w:rsidRDefault="00B636CE"/>
    <w:p w:rsidR="00000000" w:rsidRDefault="00B636CE">
      <w:r>
        <w:t>La société EuroEDi, entreprise française implantée dans la région parisienne, créée dans les années 1990, est un in</w:t>
      </w:r>
      <w:r>
        <w:t xml:space="preserve">itialement fournisseur de solutions de conception de messages EDI. </w:t>
      </w:r>
    </w:p>
    <w:p w:rsidR="00000000" w:rsidRDefault="00B636CE">
      <w:r>
        <w:t xml:space="preserve">Elle développe des outils  des systèmes </w:t>
      </w:r>
    </w:p>
    <w:p w:rsidR="00000000" w:rsidRDefault="00B636CE">
      <w:pPr>
        <w:pStyle w:val="En-tte"/>
        <w:tabs>
          <w:tab w:val="clear" w:pos="4536"/>
          <w:tab w:val="clear" w:pos="9072"/>
        </w:tabs>
      </w:pPr>
    </w:p>
    <w:p w:rsidR="00000000" w:rsidRDefault="00B636CE">
      <w:pPr>
        <w:rPr>
          <w:bCs/>
          <w:u w:val="single"/>
        </w:rPr>
      </w:pPr>
      <w:r>
        <w:rPr>
          <w:bCs/>
          <w:u w:val="single"/>
        </w:rPr>
        <w:t>Eléments clefs :</w:t>
      </w:r>
    </w:p>
    <w:p w:rsidR="00000000" w:rsidRDefault="00B636CE">
      <w:pPr>
        <w:numPr>
          <w:ilvl w:val="0"/>
          <w:numId w:val="2"/>
        </w:numPr>
        <w:tabs>
          <w:tab w:val="left" w:pos="720"/>
        </w:tabs>
        <w:ind w:left="720"/>
      </w:pPr>
      <w:r>
        <w:t xml:space="preserve">PME-PMI, env. 12 employés, </w:t>
      </w:r>
    </w:p>
    <w:p w:rsidR="00000000" w:rsidRDefault="00B636CE">
      <w:pPr>
        <w:numPr>
          <w:ilvl w:val="0"/>
          <w:numId w:val="2"/>
        </w:numPr>
        <w:tabs>
          <w:tab w:val="left" w:pos="720"/>
        </w:tabs>
        <w:ind w:left="720"/>
      </w:pPr>
      <w:r>
        <w:t xml:space="preserve">Domaine solutions EDI, XML, EAI, Conseils EES, </w:t>
      </w:r>
    </w:p>
    <w:p w:rsidR="00000000" w:rsidRDefault="000368EF" w:rsidP="000368EF">
      <w:pPr>
        <w:numPr>
          <w:ilvl w:val="0"/>
          <w:numId w:val="2"/>
        </w:numPr>
        <w:tabs>
          <w:tab w:val="left" w:pos="720"/>
        </w:tabs>
        <w:ind w:left="720"/>
      </w:pPr>
      <w:r>
        <w:rPr>
          <w:noProof/>
          <w:sz w:val="20"/>
          <w:lang w:val="en-US"/>
        </w:rPr>
        <w:pict>
          <v:shape id="_x0000_s1281" type="#_x0000_t75" style="position:absolute;left:0;text-align:left;margin-left:8.55pt;margin-top:11.4pt;width:534.65pt;height:255.4pt;z-index:1" fillcolor="#0c9">
            <v:imagedata r:id="rId8" o:title=""/>
          </v:shape>
        </w:pict>
      </w:r>
      <w:r w:rsidR="00B636CE">
        <w:t>Siège dans la région parisienne</w:t>
      </w:r>
    </w:p>
    <w:p w:rsidR="000368EF" w:rsidRDefault="000368EF" w:rsidP="000368EF">
      <w:pPr>
        <w:tabs>
          <w:tab w:val="left" w:pos="720"/>
        </w:tabs>
      </w:pPr>
    </w:p>
    <w:p w:rsidR="000368EF" w:rsidRDefault="000368EF" w:rsidP="000368EF">
      <w:pPr>
        <w:tabs>
          <w:tab w:val="left" w:pos="720"/>
        </w:tabs>
      </w:pPr>
      <w:r>
        <w:rPr>
          <w:noProof/>
          <w:lang w:eastAsia="zh-CN"/>
        </w:rPr>
        <w:pict>
          <v:rect id="_x0000_s1311" style="position:absolute;left:0;text-align:left;margin-left:365.6pt;margin-top:5.05pt;width:101.6pt;height:27.2pt;z-index:15"/>
        </w:pict>
      </w:r>
      <w:r>
        <w:rPr>
          <w:noProof/>
          <w:lang w:eastAsia="zh-CN"/>
        </w:rPr>
        <w:pict>
          <v:rect id="_x0000_s1310" style="position:absolute;left:0;text-align:left;margin-left:81.6pt;margin-top:10.65pt;width:101.6pt;height:27.2pt;z-index:14"/>
        </w:pict>
      </w:r>
    </w:p>
    <w:p w:rsidR="000368EF" w:rsidRDefault="000368EF" w:rsidP="000368EF">
      <w:pPr>
        <w:tabs>
          <w:tab w:val="left" w:pos="720"/>
        </w:tabs>
      </w:pPr>
    </w:p>
    <w:p w:rsidR="000368EF" w:rsidRDefault="000368EF" w:rsidP="000368EF">
      <w:pPr>
        <w:tabs>
          <w:tab w:val="left" w:pos="720"/>
        </w:tabs>
      </w:pPr>
    </w:p>
    <w:p w:rsidR="000368EF" w:rsidRDefault="000368EF" w:rsidP="000368EF">
      <w:pPr>
        <w:tabs>
          <w:tab w:val="left" w:pos="720"/>
        </w:tabs>
      </w:pPr>
    </w:p>
    <w:p w:rsidR="000368EF" w:rsidRDefault="000368EF" w:rsidP="000368EF">
      <w:pPr>
        <w:tabs>
          <w:tab w:val="left" w:pos="720"/>
        </w:tabs>
      </w:pPr>
    </w:p>
    <w:p w:rsidR="000368EF" w:rsidRDefault="000368EF" w:rsidP="000368EF">
      <w:pPr>
        <w:tabs>
          <w:tab w:val="left" w:pos="720"/>
        </w:tabs>
      </w:pPr>
    </w:p>
    <w:p w:rsidR="000368EF" w:rsidRDefault="000368EF" w:rsidP="000368EF">
      <w:pPr>
        <w:tabs>
          <w:tab w:val="left" w:pos="720"/>
        </w:tabs>
      </w:pPr>
    </w:p>
    <w:p w:rsidR="000368EF" w:rsidRDefault="000368EF" w:rsidP="000368EF">
      <w:pPr>
        <w:tabs>
          <w:tab w:val="left" w:pos="720"/>
        </w:tabs>
      </w:pPr>
    </w:p>
    <w:p w:rsidR="000368EF" w:rsidRDefault="000368EF" w:rsidP="000368EF">
      <w:pPr>
        <w:tabs>
          <w:tab w:val="left" w:pos="720"/>
        </w:tabs>
      </w:pPr>
    </w:p>
    <w:p w:rsidR="000368EF" w:rsidRDefault="000368EF" w:rsidP="000368EF">
      <w:pPr>
        <w:tabs>
          <w:tab w:val="left" w:pos="720"/>
        </w:tabs>
      </w:pPr>
    </w:p>
    <w:p w:rsidR="000368EF" w:rsidRPr="000368EF" w:rsidRDefault="000368EF" w:rsidP="000368EF">
      <w:pPr>
        <w:tabs>
          <w:tab w:val="left" w:pos="720"/>
        </w:tabs>
      </w:pPr>
    </w:p>
    <w:p w:rsidR="00000000" w:rsidRPr="000368EF" w:rsidRDefault="00B636CE"/>
    <w:p w:rsidR="00000000" w:rsidRPr="000368EF" w:rsidRDefault="00B636CE"/>
    <w:p w:rsidR="00000000" w:rsidRPr="000368EF" w:rsidRDefault="00B636CE"/>
    <w:p w:rsidR="00000000" w:rsidRDefault="00B636CE"/>
    <w:p w:rsidR="00000000" w:rsidRDefault="00B636CE">
      <w:pPr>
        <w:pStyle w:val="Titre2"/>
      </w:pPr>
      <w:bookmarkStart w:id="10" w:name="_Toc75570091"/>
      <w:r>
        <w:t>2.5 La définition d’un contrat entre partenaires</w:t>
      </w:r>
      <w:bookmarkEnd w:id="10"/>
    </w:p>
    <w:p w:rsidR="00000000" w:rsidRDefault="00B636CE"/>
    <w:p w:rsidR="00000000" w:rsidRDefault="00B636CE" w:rsidP="008C3641">
      <w:r>
        <w:t>La définition d’un contrat dans le cadre de l’EDI, relié les partena</w:t>
      </w:r>
      <w:r>
        <w:t xml:space="preserve">ires ayant des échanges commerciaux, dans ce cas </w:t>
      </w:r>
      <w:r w:rsidR="008C3641">
        <w:t>X</w:t>
      </w:r>
      <w:r>
        <w:t xml:space="preserve"> et </w:t>
      </w:r>
      <w:r w:rsidR="008C3641">
        <w:t>A</w:t>
      </w:r>
      <w:r>
        <w:t xml:space="preserve">. </w:t>
      </w:r>
    </w:p>
    <w:p w:rsidR="00000000" w:rsidRDefault="00B636CE"/>
    <w:p w:rsidR="00000000" w:rsidRDefault="00B636CE">
      <w:r>
        <w:t>Il concerne principalement :</w:t>
      </w:r>
    </w:p>
    <w:p w:rsidR="00000000" w:rsidRDefault="00B636CE" w:rsidP="00B636CE">
      <w:pPr>
        <w:numPr>
          <w:ilvl w:val="0"/>
          <w:numId w:val="3"/>
        </w:numPr>
      </w:pPr>
      <w:r>
        <w:t>La liste des messages échangés dans la norme EDIFACT :</w:t>
      </w:r>
    </w:p>
    <w:p w:rsidR="00000000" w:rsidRDefault="00B636CE" w:rsidP="00B636CE">
      <w:pPr>
        <w:numPr>
          <w:ilvl w:val="1"/>
          <w:numId w:val="3"/>
        </w:numPr>
      </w:pPr>
      <w:r>
        <w:t>il s’agira d’abord du message commande : ORDERS</w:t>
      </w:r>
    </w:p>
    <w:p w:rsidR="00000000" w:rsidRDefault="00B636CE" w:rsidP="00B636CE">
      <w:pPr>
        <w:numPr>
          <w:ilvl w:val="1"/>
          <w:numId w:val="3"/>
        </w:numPr>
      </w:pPr>
      <w:r>
        <w:t>Et du message de confirmation de commande : ORDRSP</w:t>
      </w:r>
    </w:p>
    <w:p w:rsidR="00000000" w:rsidRDefault="00B636CE" w:rsidP="00B636CE">
      <w:pPr>
        <w:numPr>
          <w:ilvl w:val="1"/>
          <w:numId w:val="3"/>
        </w:numPr>
      </w:pPr>
      <w:r>
        <w:t xml:space="preserve">Viendra ensuite la facture INVOIC </w:t>
      </w:r>
    </w:p>
    <w:p w:rsidR="00000000" w:rsidRDefault="00B636CE" w:rsidP="00B636CE">
      <w:pPr>
        <w:numPr>
          <w:ilvl w:val="0"/>
          <w:numId w:val="3"/>
        </w:numPr>
      </w:pPr>
      <w:r>
        <w:t>Des références du prestataire de RVA : il doit en effet être le même des 2 côtés de l’échange ou bien des ponts doivent exister entre les fournisseurs de RVA</w:t>
      </w:r>
    </w:p>
    <w:p w:rsidR="00000000" w:rsidRDefault="00B636CE" w:rsidP="00B636CE">
      <w:pPr>
        <w:numPr>
          <w:ilvl w:val="0"/>
          <w:numId w:val="3"/>
        </w:numPr>
      </w:pPr>
      <w:r>
        <w:t>Les modalités des échanges en terme de fréquence (plusieurs fo</w:t>
      </w:r>
      <w:r>
        <w:t>is par jour, par exemple) et de sécurisation des journaux de transactions afin de permettre la vérification du bon envoi, de pouvoir répondre à d’éventuelles réclamations.</w:t>
      </w:r>
    </w:p>
    <w:p w:rsidR="00000000" w:rsidRDefault="00B636CE"/>
    <w:p w:rsidR="00000000" w:rsidRDefault="00B636CE">
      <w:r>
        <w:t>La consignation de ces éléments est effectuée dans le Contrat d’Interchange signé p</w:t>
      </w:r>
      <w:r>
        <w:t>ar les 2 parties.</w:t>
      </w:r>
    </w:p>
    <w:p w:rsidR="00000000" w:rsidRDefault="00B636CE"/>
    <w:p w:rsidR="00000000" w:rsidRDefault="00B636CE"/>
    <w:p w:rsidR="00000000" w:rsidRDefault="00B636CE">
      <w:pPr>
        <w:pStyle w:val="Titre2"/>
      </w:pPr>
      <w:bookmarkStart w:id="11" w:name="_Toc75570092"/>
      <w:r>
        <w:t>2.6 La mise en œuvre de l’EDI</w:t>
      </w:r>
      <w:bookmarkEnd w:id="11"/>
    </w:p>
    <w:p w:rsidR="00000000" w:rsidRDefault="00B636CE"/>
    <w:p w:rsidR="00000000" w:rsidRDefault="00B636CE">
      <w:r>
        <w:t xml:space="preserve">La mise en œuvre de l’EDI est un projet d’informatisation à part entière, qui touche non seulement au système d’information existant en </w:t>
      </w:r>
      <w:r w:rsidR="008C3641">
        <w:t>termes</w:t>
      </w:r>
      <w:r>
        <w:t xml:space="preserve"> de données et de traitements, mais également à l’organisation e</w:t>
      </w:r>
      <w:r>
        <w:t>lle-même de l’entreprise. Des flux d’information existants seront supprimés au profit d’autres flux ; cela nécessite une étude des transformations sociales induites par ces changements.</w:t>
      </w:r>
    </w:p>
    <w:p w:rsidR="00000000" w:rsidRDefault="00B636CE"/>
    <w:p w:rsidR="00000000" w:rsidRDefault="00B636CE">
      <w:r>
        <w:t>Au niveau du projet, il faut valider la faisabilité de mise en oeuvre</w:t>
      </w:r>
      <w:r>
        <w:t xml:space="preserve"> de l’interface avec le système central existant, effectuer une étude des coûts de la solution, logiciel(WINEDI) et réseau(RVA IBM-IN), et établir un calendrier de réalisation en coordination avec le client. L’organisation n’est pas affectée par cette mise</w:t>
      </w:r>
      <w:r>
        <w:t xml:space="preserve"> en place.</w:t>
      </w:r>
    </w:p>
    <w:p w:rsidR="00000000" w:rsidRDefault="00B636CE"/>
    <w:p w:rsidR="00000000" w:rsidRDefault="00B636CE">
      <w:r>
        <w:t>Le concept de l’EDI est basé sur la communication inter systèmes d’information. Chaque tiers ayant un système de gestion différent, des bases de données différentes, il est nécessaire de se mettre d’accord sur les données échangées dans les mes</w:t>
      </w:r>
      <w:r>
        <w:t>sages sélectionnés. A partir des messages du répertoire normalisé, les 2 partenaires se mettent d’accord pour en utiliser un sous-ensemble (« subset ») satisfaisant les 2 parties.</w:t>
      </w:r>
    </w:p>
    <w:p w:rsidR="00000000" w:rsidRDefault="00B636CE"/>
    <w:p w:rsidR="00000000" w:rsidRDefault="00B636CE">
      <w:r>
        <w:t>Une passerelle sera ensuite créée entre les données du système et les donné</w:t>
      </w:r>
      <w:r>
        <w:t xml:space="preserve">es du format d’échange : cela nécessite soit de passer par un développement de programme d’interfaçage, soit par l’achat d’un produit permettant cette interfaçage. Afin de limiter les budgets, la solution du développement interne </w:t>
      </w:r>
      <w:r w:rsidR="008C3641">
        <w:t>a</w:t>
      </w:r>
      <w:r>
        <w:t xml:space="preserve"> été retenue.</w:t>
      </w:r>
    </w:p>
    <w:p w:rsidR="00000000" w:rsidRDefault="00B636CE"/>
    <w:p w:rsidR="00000000" w:rsidRDefault="00B636CE">
      <w:r>
        <w:t xml:space="preserve">L’arrivée </w:t>
      </w:r>
      <w:r>
        <w:t xml:space="preserve">d’un 2eme client, n’ayant ni les mêmes normes de message (TRADACOM) ni le même réseau (GEIS), a </w:t>
      </w:r>
      <w:r w:rsidR="008C3641">
        <w:t>nécessité</w:t>
      </w:r>
      <w:r>
        <w:t xml:space="preserve"> le développement de nouveau « subset » (sous-ensemble des champs d’un message normalisé) et de s’abonner auprès de notre fournisseur RVA à une interco</w:t>
      </w:r>
      <w:r>
        <w:t>nnexion avec le RVA GEIS.</w:t>
      </w:r>
    </w:p>
    <w:p w:rsidR="00000000" w:rsidRDefault="00B636CE"/>
    <w:p w:rsidR="00000000" w:rsidRDefault="00B636CE">
      <w:r>
        <w:t>Les coûts du projet ont été peu élevés (50kF), et les retours sur investissement (ROI) ont été difficiles à appréhender.</w:t>
      </w:r>
    </w:p>
    <w:p w:rsidR="00000000" w:rsidRDefault="00B636CE"/>
    <w:p w:rsidR="00000000" w:rsidRDefault="00B636CE"/>
    <w:p w:rsidR="00000000" w:rsidRDefault="000368EF">
      <w:r>
        <w:rPr>
          <w:noProof/>
          <w:sz w:val="20"/>
          <w:lang w:val="en-US"/>
        </w:rPr>
        <w:pict>
          <v:shape id="_x0000_s1285" type="#_x0000_t75" style="position:absolute;left:0;text-align:left;margin-left:8.55pt;margin-top:.75pt;width:540.55pt;height:210.7pt;z-index:3" fillcolor="#0c9">
            <v:imagedata r:id="rId9" o:title=""/>
          </v:shape>
        </w:pict>
      </w:r>
    </w:p>
    <w:p w:rsidR="00000000" w:rsidRDefault="00B636CE"/>
    <w:p w:rsidR="00000000" w:rsidRDefault="00B636CE"/>
    <w:p w:rsidR="00000000" w:rsidRDefault="00B636CE"/>
    <w:p w:rsidR="00000000" w:rsidRDefault="00B636CE"/>
    <w:p w:rsidR="00000000" w:rsidRDefault="00B636CE"/>
    <w:p w:rsidR="00000000" w:rsidRDefault="00B636CE"/>
    <w:p w:rsidR="00000000" w:rsidRDefault="00B636CE"/>
    <w:p w:rsidR="00000000" w:rsidRDefault="00B636CE"/>
    <w:p w:rsidR="00000000" w:rsidRDefault="00B636CE"/>
    <w:p w:rsidR="00000000" w:rsidRDefault="00B636CE"/>
    <w:p w:rsidR="00000000" w:rsidRDefault="00B636CE"/>
    <w:p w:rsidR="00000000" w:rsidRDefault="00B636CE"/>
    <w:p w:rsidR="00000000" w:rsidRDefault="00B636CE"/>
    <w:p w:rsidR="00000000" w:rsidRDefault="00B636CE"/>
    <w:p w:rsidR="00000000" w:rsidRDefault="00B636CE" w:rsidP="000368EF">
      <w:pPr>
        <w:pStyle w:val="Figures"/>
      </w:pPr>
      <w:bookmarkStart w:id="12" w:name="_Toc75570139"/>
      <w:r>
        <w:t xml:space="preserve">Fig. 3 : Solution technique EuroEDI chez </w:t>
      </w:r>
      <w:bookmarkEnd w:id="12"/>
      <w:r w:rsidR="000368EF">
        <w:t>A</w:t>
      </w:r>
    </w:p>
    <w:p w:rsidR="00000000" w:rsidRDefault="00B636CE"/>
    <w:p w:rsidR="00057844" w:rsidRDefault="00B636CE" w:rsidP="000368EF">
      <w:pPr>
        <w:pStyle w:val="Figures"/>
      </w:pPr>
      <w:r>
        <w:br w:type="page"/>
      </w:r>
      <w:bookmarkStart w:id="13" w:name="_Toc75570142"/>
      <w:r w:rsidR="008C3641">
        <w:lastRenderedPageBreak/>
        <w:t>Situation</w:t>
      </w:r>
      <w:r w:rsidR="00057844">
        <w:t xml:space="preserve"> de départ</w:t>
      </w:r>
      <w:bookmarkEnd w:id="13"/>
    </w:p>
    <w:p w:rsidR="00000000" w:rsidRDefault="00B636CE" w:rsidP="00057844">
      <w:pPr>
        <w:pStyle w:val="Titre2"/>
      </w:pPr>
      <w:r>
        <w:rPr>
          <w:noProof/>
          <w:sz w:val="20"/>
          <w:lang w:val="en-US"/>
        </w:rPr>
        <w:pict>
          <v:shape id="_x0000_s1302" type="#_x0000_t75" style="position:absolute;left:0;text-align:left;margin-left:8.25pt;margin-top:11.6pt;width:524.55pt;height:278.65pt;z-index:8">
            <v:imagedata r:id="rId10" o:title=""/>
          </v:shape>
        </w:pict>
      </w: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8C3641" w:rsidRDefault="008C3641" w:rsidP="008C3641">
      <w:pPr>
        <w:pStyle w:val="Figures"/>
      </w:pPr>
      <w:bookmarkStart w:id="14" w:name="_Toc75570143"/>
      <w:r>
        <w:t>Situation</w:t>
      </w:r>
      <w:r>
        <w:t xml:space="preserve"> de communication des SI</w:t>
      </w:r>
      <w:bookmarkEnd w:id="14"/>
    </w:p>
    <w:p w:rsidR="00000000" w:rsidRDefault="000368EF">
      <w:pPr>
        <w:tabs>
          <w:tab w:val="left" w:pos="3195"/>
        </w:tabs>
      </w:pPr>
      <w:r>
        <w:rPr>
          <w:noProof/>
          <w:sz w:val="20"/>
          <w:lang w:val="en-US"/>
        </w:rPr>
        <w:pict>
          <v:shape id="_x0000_s1303" type="#_x0000_t75" style="position:absolute;left:0;text-align:left;margin-left:8.25pt;margin-top:3.35pt;width:524.55pt;height:256.2pt;z-index:9">
            <v:imagedata r:id="rId11" o:title=""/>
          </v:shape>
        </w:pict>
      </w: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AB288A" w:rsidRDefault="00AB288A">
      <w:pPr>
        <w:tabs>
          <w:tab w:val="left" w:pos="3195"/>
        </w:tabs>
      </w:pPr>
    </w:p>
    <w:p w:rsidR="00AB288A" w:rsidRDefault="00AB288A">
      <w:pPr>
        <w:tabs>
          <w:tab w:val="left" w:pos="3195"/>
        </w:tabs>
      </w:pPr>
    </w:p>
    <w:p w:rsidR="00AB288A" w:rsidRDefault="00AB288A">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8C3641" w:rsidP="008C3641">
      <w:pPr>
        <w:pStyle w:val="Figures"/>
      </w:pPr>
      <w:r>
        <w:lastRenderedPageBreak/>
        <w:t>Démarche</w:t>
      </w:r>
      <w:r>
        <w:t xml:space="preserve"> de normalisation</w:t>
      </w:r>
    </w:p>
    <w:p w:rsidR="00000000" w:rsidRDefault="008C3641">
      <w:pPr>
        <w:tabs>
          <w:tab w:val="left" w:pos="3195"/>
        </w:tabs>
      </w:pPr>
      <w:r>
        <w:rPr>
          <w:noProof/>
          <w:sz w:val="20"/>
          <w:lang w:val="en-US"/>
        </w:rPr>
        <w:pict>
          <v:shape id="_x0000_s1304" type="#_x0000_t75" style="position:absolute;left:0;text-align:left;margin-left:8.25pt;margin-top:5.25pt;width:518.95pt;height:292.35pt;z-index:10">
            <v:imagedata r:id="rId12" o:title=""/>
          </v:shape>
        </w:pict>
      </w: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368EF" w:rsidRDefault="000368EF">
      <w:pPr>
        <w:tabs>
          <w:tab w:val="left" w:pos="3195"/>
        </w:tabs>
      </w:pPr>
    </w:p>
    <w:p w:rsidR="00000000" w:rsidRDefault="00B636CE" w:rsidP="008C3641">
      <w:pPr>
        <w:pStyle w:val="Figures"/>
      </w:pPr>
    </w:p>
    <w:p w:rsidR="00000000" w:rsidRDefault="00B636CE">
      <w:pPr>
        <w:tabs>
          <w:tab w:val="left" w:pos="3195"/>
        </w:tabs>
      </w:pPr>
    </w:p>
    <w:p w:rsidR="008C3641" w:rsidRDefault="008C3641" w:rsidP="008C3641">
      <w:pPr>
        <w:pStyle w:val="Figures"/>
      </w:pPr>
      <w:bookmarkStart w:id="15" w:name="_Toc75570145"/>
      <w:r>
        <w:t>Rôle</w:t>
      </w:r>
      <w:r>
        <w:t xml:space="preserve"> des RVA</w:t>
      </w:r>
      <w:bookmarkEnd w:id="15"/>
    </w:p>
    <w:p w:rsidR="00000000" w:rsidRDefault="00B636CE">
      <w:pPr>
        <w:tabs>
          <w:tab w:val="left" w:pos="3195"/>
        </w:tabs>
      </w:pPr>
      <w:r>
        <w:rPr>
          <w:noProof/>
          <w:sz w:val="20"/>
          <w:lang w:val="en-US"/>
        </w:rPr>
        <w:pict>
          <v:shape id="_x0000_s1290" type="#_x0000_t75" style="position:absolute;left:0;text-align:left;margin-left:14.25pt;margin-top:13.05pt;width:520.65pt;height:241pt;z-index:4" fillcolor="black">
            <v:fill color2="black"/>
            <v:imagedata r:id="rId13" o:title=""/>
            <v:shadow color="black"/>
          </v:shape>
        </w:pict>
      </w: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r>
        <w:br w:type="page"/>
      </w:r>
    </w:p>
    <w:p w:rsidR="00000000" w:rsidRDefault="00B636CE">
      <w:pPr>
        <w:tabs>
          <w:tab w:val="left" w:pos="3195"/>
        </w:tabs>
      </w:pPr>
    </w:p>
    <w:p w:rsidR="008C3641" w:rsidRDefault="008C3641" w:rsidP="008C3641">
      <w:pPr>
        <w:pStyle w:val="Figures"/>
      </w:pPr>
      <w:bookmarkStart w:id="16" w:name="_Toc75570146"/>
      <w:r>
        <w:t>Structure</w:t>
      </w:r>
      <w:r>
        <w:t xml:space="preserve"> d’un message EDI</w:t>
      </w:r>
      <w:bookmarkEnd w:id="16"/>
    </w:p>
    <w:p w:rsidR="00000000" w:rsidRDefault="00B636CE">
      <w:pPr>
        <w:tabs>
          <w:tab w:val="left" w:pos="3195"/>
        </w:tabs>
      </w:pPr>
      <w:r>
        <w:rPr>
          <w:noProof/>
          <w:sz w:val="20"/>
          <w:lang w:val="en-US"/>
        </w:rPr>
        <w:pict>
          <v:shape id="_x0000_s1299" type="#_x0000_t75" style="position:absolute;left:0;text-align:left;margin-left:8.25pt;margin-top:4.4pt;width:450pt;height:327.05pt;z-index:7" fillcolor="black">
            <v:fill color2="black"/>
            <v:imagedata r:id="rId14" o:title=""/>
            <v:shadow color="black"/>
          </v:shape>
        </w:pict>
      </w: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8C3641" w:rsidRDefault="008C3641" w:rsidP="008C3641">
      <w:pPr>
        <w:pStyle w:val="Figures"/>
      </w:pPr>
      <w:bookmarkStart w:id="17" w:name="_Toc75570150"/>
      <w:r>
        <w:t>Format</w:t>
      </w:r>
      <w:r>
        <w:t xml:space="preserve"> XML</w:t>
      </w:r>
      <w:bookmarkEnd w:id="17"/>
    </w:p>
    <w:p w:rsidR="00000000" w:rsidRDefault="00B636CE">
      <w:pPr>
        <w:tabs>
          <w:tab w:val="left" w:pos="3195"/>
        </w:tabs>
      </w:pPr>
      <w:r>
        <w:rPr>
          <w:noProof/>
          <w:sz w:val="20"/>
          <w:lang w:val="en-US"/>
        </w:rPr>
        <w:pict>
          <v:shape id="_x0000_s1296" type="#_x0000_t75" style="position:absolute;left:0;text-align:left;margin-left:8.25pt;margin-top:2.25pt;width:542.15pt;height:348pt;z-index:6" fillcolor="black">
            <v:fill color2="black"/>
            <v:imagedata r:id="rId15" o:title=""/>
            <v:shadow color="black"/>
          </v:shape>
        </w:pict>
      </w: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p>
    <w:p w:rsidR="00000000" w:rsidRDefault="00B636CE">
      <w:pPr>
        <w:tabs>
          <w:tab w:val="left" w:pos="3195"/>
        </w:tabs>
      </w:pPr>
      <w:r>
        <w:br w:type="page"/>
      </w:r>
    </w:p>
    <w:p w:rsidR="008C3641" w:rsidRDefault="008C3641" w:rsidP="008C3641">
      <w:pPr>
        <w:pStyle w:val="Figures"/>
      </w:pPr>
      <w:bookmarkStart w:id="18" w:name="_Toc75570151"/>
      <w:r>
        <w:rPr>
          <w:noProof/>
          <w:sz w:val="20"/>
          <w:lang w:val="en-US"/>
        </w:rPr>
        <w:pict>
          <v:shape id="_x0000_s1295" type="#_x0000_t75" style="position:absolute;left:0;text-align:left;margin-left:14.25pt;margin-top:16.3pt;width:520.15pt;height:285.3pt;z-index:5" fillcolor="#0c9">
            <v:imagedata r:id="rId16" o:title=""/>
            <w10:wrap type="topAndBottom"/>
          </v:shape>
          <o:OLEObject Type="Embed" ProgID="PhotoMag.Image.4" ShapeID="_x0000_s1295" DrawAspect="Content" ObjectID="_1585636100" r:id="rId17"/>
        </w:pict>
      </w:r>
      <w:r>
        <w:t>l’EDI sur Internet</w:t>
      </w:r>
      <w:bookmarkEnd w:id="18"/>
    </w:p>
    <w:p w:rsidR="00000000" w:rsidRDefault="00B636CE">
      <w:pPr>
        <w:tabs>
          <w:tab w:val="left" w:pos="3195"/>
        </w:tabs>
      </w:pPr>
    </w:p>
    <w:p w:rsidR="00000000" w:rsidRDefault="00B636CE">
      <w:pPr>
        <w:pStyle w:val="Figures"/>
      </w:pPr>
    </w:p>
    <w:p w:rsidR="008C3641" w:rsidRDefault="008C3641" w:rsidP="008C3641">
      <w:pPr>
        <w:pStyle w:val="Figures"/>
      </w:pPr>
      <w:bookmarkStart w:id="19" w:name="_Toc75570154"/>
      <w:r>
        <w:t>Synthèse</w:t>
      </w:r>
      <w:bookmarkEnd w:id="19"/>
    </w:p>
    <w:p w:rsidR="00000000" w:rsidRDefault="00B636CE">
      <w:pPr>
        <w:pStyle w:val="Figures"/>
      </w:pPr>
    </w:p>
    <w:p w:rsidR="00000000" w:rsidRDefault="00B636CE">
      <w:pPr>
        <w:pStyle w:val="Figures"/>
      </w:pPr>
    </w:p>
    <w:p w:rsidR="00000000" w:rsidRDefault="00B636CE">
      <w:pPr>
        <w:pStyle w:val="Figures"/>
      </w:pPr>
      <w:bookmarkStart w:id="20" w:name="_Toc75570153"/>
      <w:r>
        <w:rPr>
          <w:noProof/>
          <w:sz w:val="20"/>
          <w:lang w:val="en-US"/>
        </w:rPr>
        <w:pict>
          <v:shape id="_x0000_s1305" type="#_x0000_t75" style="position:absolute;left:0;text-align:left;margin-left:8.25pt;margin-top:2.15pt;width:450pt;height:240pt;z-index:11">
            <v:imagedata r:id="rId18" o:title=""/>
          </v:shape>
        </w:pict>
      </w:r>
      <w:bookmarkEnd w:id="20"/>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000000" w:rsidRDefault="00B636CE">
      <w:pPr>
        <w:pStyle w:val="Figures"/>
      </w:pPr>
    </w:p>
    <w:p w:rsidR="00B636CE" w:rsidRDefault="00B636CE">
      <w:pPr>
        <w:pStyle w:val="Figures"/>
      </w:pPr>
    </w:p>
    <w:sectPr w:rsidR="00B636CE" w:rsidSect="000368EF">
      <w:footerReference w:type="default" r:id="rId19"/>
      <w:type w:val="continuous"/>
      <w:pgSz w:w="12240" w:h="15840"/>
      <w:pgMar w:top="720" w:right="720" w:bottom="720" w:left="720" w:header="720" w:footer="113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6CE" w:rsidRDefault="00B636CE">
      <w:r>
        <w:separator/>
      </w:r>
    </w:p>
  </w:endnote>
  <w:endnote w:type="continuationSeparator" w:id="0">
    <w:p w:rsidR="00B636CE" w:rsidRDefault="00B63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636CE" w:rsidP="000368EF">
    <w:pPr>
      <w:pStyle w:val="Pieddepage"/>
      <w:rPr>
        <w:rFonts w:ascii="Verdana" w:hAnsi="Verdana"/>
        <w:sz w:val="20"/>
      </w:rPr>
    </w:pPr>
    <w:r>
      <w:rPr>
        <w:noProof/>
      </w:rPr>
      <w:pict>
        <v:line id="_x0000_s2049" style="position:absolute;left:0;text-align:left;z-index:1" from="-3.8pt,-1pt" to="470.2pt,-1pt" o:allowincell="f"/>
      </w:pict>
    </w:r>
    <w:r>
      <w:rPr>
        <w:rFonts w:ascii="Verdana" w:hAnsi="Verdana"/>
        <w:sz w:val="20"/>
      </w:rPr>
      <w:tab/>
    </w:r>
    <w:r>
      <w:rPr>
        <w:rFonts w:ascii="Verdana" w:hAnsi="Verdana"/>
        <w:sz w:val="20"/>
      </w:rPr>
      <w:tab/>
    </w:r>
    <w:r w:rsidR="008C3641">
      <w:rPr>
        <w:rFonts w:ascii="Verdana" w:hAnsi="Verdana"/>
        <w:sz w:val="20"/>
      </w:rPr>
      <w:t>Page</w:t>
    </w:r>
    <w:r>
      <w:rPr>
        <w:rFonts w:ascii="Verdana" w:hAnsi="Verdana"/>
        <w:sz w:val="20"/>
      </w:rPr>
      <w:t xml:space="preserve"> </w:t>
    </w:r>
    <w:r>
      <w:rPr>
        <w:rStyle w:val="Numrodepage"/>
        <w:rFonts w:ascii="Verdana" w:hAnsi="Verdana"/>
        <w:sz w:val="20"/>
      </w:rPr>
      <w:fldChar w:fldCharType="begin"/>
    </w:r>
    <w:r>
      <w:rPr>
        <w:rStyle w:val="Numrodepage"/>
        <w:rFonts w:ascii="Verdana" w:hAnsi="Verdana"/>
        <w:sz w:val="20"/>
      </w:rPr>
      <w:instrText xml:space="preserve"> PAGE </w:instrText>
    </w:r>
    <w:r>
      <w:rPr>
        <w:rStyle w:val="Numrodepage"/>
        <w:rFonts w:ascii="Verdana" w:hAnsi="Verdana"/>
        <w:sz w:val="20"/>
      </w:rPr>
      <w:fldChar w:fldCharType="separate"/>
    </w:r>
    <w:r w:rsidR="008C3641">
      <w:rPr>
        <w:rStyle w:val="Numrodepage"/>
        <w:rFonts w:ascii="Verdana" w:hAnsi="Verdana"/>
        <w:noProof/>
        <w:sz w:val="20"/>
      </w:rPr>
      <w:t>1</w:t>
    </w:r>
    <w:r>
      <w:rPr>
        <w:rStyle w:val="Numrodepage"/>
        <w:rFonts w:ascii="Verdana" w:hAnsi="Verdan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6CE" w:rsidRDefault="00B636CE">
      <w:r>
        <w:separator/>
      </w:r>
    </w:p>
  </w:footnote>
  <w:footnote w:type="continuationSeparator" w:id="0">
    <w:p w:rsidR="00B636CE" w:rsidRDefault="00B636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40F8D"/>
    <w:multiLevelType w:val="multilevel"/>
    <w:tmpl w:val="033A406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
    <w:nsid w:val="6CFD6E91"/>
    <w:multiLevelType w:val="hybridMultilevel"/>
    <w:tmpl w:val="089477D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C163121"/>
    <w:multiLevelType w:val="multilevel"/>
    <w:tmpl w:val="033A406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Moves/>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288A"/>
    <w:rsid w:val="000368EF"/>
    <w:rsid w:val="00057844"/>
    <w:rsid w:val="002C1F01"/>
    <w:rsid w:val="008C3641"/>
    <w:rsid w:val="00AB288A"/>
    <w:rsid w:val="00B636C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jc w:val="both"/>
      <w:textAlignment w:val="baseline"/>
    </w:pPr>
    <w:rPr>
      <w:rFonts w:ascii="Bookman Old Style" w:hAnsi="Bookman Old Style"/>
      <w:sz w:val="24"/>
      <w:lang w:eastAsia="en-US"/>
    </w:rPr>
  </w:style>
  <w:style w:type="paragraph" w:styleId="Titre1">
    <w:name w:val="heading 1"/>
    <w:basedOn w:val="Normal"/>
    <w:next w:val="Normal"/>
    <w:qFormat/>
    <w:pPr>
      <w:widowControl w:val="0"/>
      <w:jc w:val="center"/>
      <w:outlineLvl w:val="0"/>
    </w:pPr>
    <w:rPr>
      <w:sz w:val="32"/>
    </w:rPr>
  </w:style>
  <w:style w:type="paragraph" w:styleId="Titre2">
    <w:name w:val="heading 2"/>
    <w:basedOn w:val="Normal"/>
    <w:next w:val="Normal"/>
    <w:qFormat/>
    <w:pPr>
      <w:widowControl w:val="0"/>
      <w:ind w:left="270" w:hanging="270"/>
      <w:outlineLvl w:val="1"/>
    </w:pPr>
    <w:rPr>
      <w:sz w:val="28"/>
    </w:rPr>
  </w:style>
  <w:style w:type="paragraph" w:styleId="Titre3">
    <w:name w:val="heading 3"/>
    <w:basedOn w:val="Normal"/>
    <w:next w:val="Normal"/>
    <w:qFormat/>
    <w:pPr>
      <w:widowControl w:val="0"/>
      <w:ind w:left="585" w:hanging="225"/>
      <w:outlineLvl w:val="2"/>
    </w:pPr>
    <w:rPr>
      <w:b/>
      <w:i/>
    </w:rPr>
  </w:style>
  <w:style w:type="paragraph" w:styleId="Titre4">
    <w:name w:val="heading 4"/>
    <w:basedOn w:val="Normal"/>
    <w:next w:val="Normal"/>
    <w:qFormat/>
    <w:pPr>
      <w:widowControl w:val="0"/>
      <w:ind w:left="900" w:hanging="180"/>
      <w:outlineLvl w:val="3"/>
    </w:pPr>
    <w:rPr>
      <w:rFonts w:ascii="Verdana" w:hAnsi="Verdana"/>
    </w:rPr>
  </w:style>
  <w:style w:type="paragraph" w:styleId="Titre5">
    <w:name w:val="heading 5"/>
    <w:basedOn w:val="Normal"/>
    <w:next w:val="Normal"/>
    <w:qFormat/>
    <w:pPr>
      <w:widowControl w:val="0"/>
      <w:ind w:left="1260" w:hanging="180"/>
      <w:outlineLvl w:val="4"/>
    </w:pPr>
    <w:rPr>
      <w:rFonts w:ascii="Verdana" w:hAnsi="Verdana"/>
      <w:sz w:val="20"/>
    </w:rPr>
  </w:style>
  <w:style w:type="paragraph" w:styleId="Titre6">
    <w:name w:val="heading 6"/>
    <w:basedOn w:val="Normal"/>
    <w:next w:val="Normal"/>
    <w:qFormat/>
    <w:pPr>
      <w:widowControl w:val="0"/>
      <w:ind w:left="1620" w:hanging="180"/>
      <w:outlineLvl w:val="5"/>
    </w:pPr>
    <w:rPr>
      <w:rFonts w:ascii="Verdana" w:hAnsi="Verdana"/>
      <w:sz w:val="20"/>
    </w:rPr>
  </w:style>
  <w:style w:type="paragraph" w:styleId="Titre7">
    <w:name w:val="heading 7"/>
    <w:basedOn w:val="Normal"/>
    <w:next w:val="Normal"/>
    <w:qFormat/>
    <w:pPr>
      <w:keepNext/>
      <w:jc w:val="center"/>
      <w:outlineLvl w:val="6"/>
    </w:pPr>
    <w:rPr>
      <w:rFonts w:ascii="Verdana" w:hAnsi="Verdana"/>
      <w:b/>
      <w:sz w:val="28"/>
    </w:rPr>
  </w:style>
  <w:style w:type="paragraph" w:styleId="Titre8">
    <w:name w:val="heading 8"/>
    <w:basedOn w:val="Normal"/>
    <w:next w:val="Normal"/>
    <w:qFormat/>
    <w:pPr>
      <w:keepNext/>
      <w:jc w:val="center"/>
      <w:outlineLvl w:val="7"/>
    </w:pPr>
    <w:rPr>
      <w:rFonts w:ascii="Verdana" w:hAnsi="Verdana"/>
      <w:sz w:val="28"/>
    </w:rPr>
  </w:style>
  <w:style w:type="paragraph" w:styleId="Titre9">
    <w:name w:val="heading 9"/>
    <w:basedOn w:val="Normal"/>
    <w:next w:val="Normal"/>
    <w:qFormat/>
    <w:pPr>
      <w:keepNext/>
      <w:outlineLvl w:val="8"/>
    </w:pPr>
    <w:rPr>
      <w:rFonts w:ascii="Verdana" w:hAnsi="Verdana"/>
      <w:color w:val="000000"/>
      <w:sz w:val="4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yperlink">
    <w:name w:val="Hyperlink"/>
    <w:rPr>
      <w:color w:val="0000FF"/>
      <w:u w:val="single"/>
    </w:rPr>
  </w:style>
  <w:style w:type="character" w:customStyle="1" w:styleId="lien">
    <w:name w:val="lien"/>
    <w:basedOn w:val="Policepardfaut"/>
  </w:style>
  <w:style w:type="paragraph" w:styleId="NormalWeb">
    <w:name w:val="Normal (Web)"/>
    <w:basedOn w:val="Normal"/>
    <w:semiHidden/>
    <w:pPr>
      <w:spacing w:before="100" w:after="100"/>
    </w:pPr>
    <w:rPr>
      <w:rFonts w:ascii="Arial Unicode MS" w:eastAsia="Arial Unicode MS"/>
      <w:color w:val="000000"/>
    </w:rPr>
  </w:style>
  <w:style w:type="paragraph" w:styleId="Corpsdetexte">
    <w:name w:val="Body Text"/>
    <w:basedOn w:val="Normal"/>
    <w:semiHidden/>
    <w:rPr>
      <w:rFonts w:ascii="Arial" w:hAnsi="Arial"/>
      <w:i/>
    </w:rPr>
  </w:style>
  <w:style w:type="character" w:customStyle="1" w:styleId="Emphasis">
    <w:name w:val="Emphasis"/>
    <w:rPr>
      <w:i/>
      <w:u w:val="single"/>
    </w:rPr>
  </w:style>
  <w:style w:type="character" w:customStyle="1" w:styleId="Strong">
    <w:name w:val="Strong"/>
    <w:rPr>
      <w:b/>
    </w:rPr>
  </w:style>
  <w:style w:type="paragraph" w:customStyle="1" w:styleId="BodyText2">
    <w:name w:val="Body Text 2"/>
    <w:basedOn w:val="Normal"/>
    <w:rPr>
      <w:rFonts w:ascii="Verdana" w:hAnsi="Verdana"/>
      <w:b/>
      <w:i/>
    </w:rPr>
  </w:style>
  <w:style w:type="paragraph" w:customStyle="1" w:styleId="BodyText3">
    <w:name w:val="Body Text 3"/>
    <w:basedOn w:val="Normal"/>
    <w:rPr>
      <w:rFonts w:ascii="Verdana" w:hAnsi="Verdana"/>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customStyle="1" w:styleId="BodyText20">
    <w:name w:val="Body Text 2"/>
    <w:basedOn w:val="Normal"/>
    <w:pPr>
      <w:ind w:left="720"/>
    </w:pPr>
    <w:rPr>
      <w:rFonts w:ascii="Verdana" w:hAnsi="Verdana"/>
    </w:rPr>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customStyle="1" w:styleId="Figures">
    <w:name w:val="Figures"/>
    <w:basedOn w:val="Normal"/>
    <w:rPr>
      <w:b/>
      <w:u w:val="single"/>
    </w:rPr>
  </w:style>
  <w:style w:type="paragraph" w:styleId="Tabledesillustrations">
    <w:name w:val="table of figures"/>
    <w:basedOn w:val="Normal"/>
    <w:next w:val="Normal"/>
    <w:semiHidden/>
    <w:pPr>
      <w:ind w:left="480" w:hanging="480"/>
      <w:jc w:val="left"/>
    </w:pPr>
    <w:rPr>
      <w:smallCaps/>
      <w:szCs w:val="24"/>
    </w:rPr>
  </w:style>
  <w:style w:type="paragraph" w:styleId="TM1">
    <w:name w:val="toc 1"/>
    <w:basedOn w:val="Normal"/>
    <w:next w:val="Normal"/>
    <w:autoRedefine/>
    <w:semiHidden/>
    <w:pPr>
      <w:spacing w:before="120" w:after="120"/>
      <w:jc w:val="left"/>
    </w:pPr>
    <w:rPr>
      <w:rFonts w:ascii="Times New Roman" w:hAnsi="Times New Roman"/>
      <w:b/>
      <w:bCs/>
      <w:caps/>
      <w:szCs w:val="24"/>
    </w:rPr>
  </w:style>
  <w:style w:type="paragraph" w:customStyle="1" w:styleId="Sommaire">
    <w:name w:val="Sommaire"/>
    <w:basedOn w:val="Titre1"/>
  </w:style>
  <w:style w:type="paragraph" w:styleId="TM2">
    <w:name w:val="toc 2"/>
    <w:basedOn w:val="Normal"/>
    <w:next w:val="Normal"/>
    <w:autoRedefine/>
    <w:semiHidden/>
    <w:pPr>
      <w:ind w:left="240"/>
      <w:jc w:val="left"/>
    </w:pPr>
    <w:rPr>
      <w:rFonts w:ascii="Times New Roman" w:hAnsi="Times New Roman"/>
      <w:smallCaps/>
      <w:szCs w:val="24"/>
    </w:rPr>
  </w:style>
  <w:style w:type="paragraph" w:styleId="TM3">
    <w:name w:val="toc 3"/>
    <w:basedOn w:val="Normal"/>
    <w:next w:val="Normal"/>
    <w:autoRedefine/>
    <w:semiHidden/>
    <w:pPr>
      <w:ind w:left="480"/>
      <w:jc w:val="left"/>
    </w:pPr>
    <w:rPr>
      <w:rFonts w:ascii="Times New Roman" w:hAnsi="Times New Roman"/>
      <w:i/>
      <w:iCs/>
      <w:szCs w:val="24"/>
    </w:rPr>
  </w:style>
  <w:style w:type="paragraph" w:styleId="TM4">
    <w:name w:val="toc 4"/>
    <w:basedOn w:val="Normal"/>
    <w:next w:val="Normal"/>
    <w:autoRedefine/>
    <w:semiHidden/>
    <w:pPr>
      <w:ind w:left="720"/>
      <w:jc w:val="left"/>
    </w:pPr>
    <w:rPr>
      <w:rFonts w:ascii="Times New Roman" w:hAnsi="Times New Roman"/>
      <w:szCs w:val="21"/>
    </w:rPr>
  </w:style>
  <w:style w:type="paragraph" w:styleId="TM5">
    <w:name w:val="toc 5"/>
    <w:basedOn w:val="Normal"/>
    <w:next w:val="Normal"/>
    <w:autoRedefine/>
    <w:semiHidden/>
    <w:pPr>
      <w:ind w:left="960"/>
      <w:jc w:val="left"/>
    </w:pPr>
    <w:rPr>
      <w:rFonts w:ascii="Times New Roman" w:hAnsi="Times New Roman"/>
      <w:szCs w:val="21"/>
    </w:rPr>
  </w:style>
  <w:style w:type="paragraph" w:styleId="TM6">
    <w:name w:val="toc 6"/>
    <w:basedOn w:val="Normal"/>
    <w:next w:val="Normal"/>
    <w:autoRedefine/>
    <w:semiHidden/>
    <w:pPr>
      <w:ind w:left="1200"/>
      <w:jc w:val="left"/>
    </w:pPr>
    <w:rPr>
      <w:rFonts w:ascii="Times New Roman" w:hAnsi="Times New Roman"/>
      <w:szCs w:val="21"/>
    </w:rPr>
  </w:style>
  <w:style w:type="paragraph" w:styleId="TM7">
    <w:name w:val="toc 7"/>
    <w:basedOn w:val="Normal"/>
    <w:next w:val="Normal"/>
    <w:autoRedefine/>
    <w:semiHidden/>
    <w:pPr>
      <w:ind w:left="1440"/>
      <w:jc w:val="left"/>
    </w:pPr>
    <w:rPr>
      <w:rFonts w:ascii="Times New Roman" w:hAnsi="Times New Roman"/>
      <w:szCs w:val="21"/>
    </w:rPr>
  </w:style>
  <w:style w:type="paragraph" w:styleId="TM8">
    <w:name w:val="toc 8"/>
    <w:basedOn w:val="Normal"/>
    <w:next w:val="Normal"/>
    <w:autoRedefine/>
    <w:semiHidden/>
    <w:pPr>
      <w:ind w:left="1680"/>
      <w:jc w:val="left"/>
    </w:pPr>
    <w:rPr>
      <w:rFonts w:ascii="Times New Roman" w:hAnsi="Times New Roman"/>
      <w:szCs w:val="21"/>
    </w:rPr>
  </w:style>
  <w:style w:type="paragraph" w:styleId="TM9">
    <w:name w:val="toc 9"/>
    <w:basedOn w:val="Normal"/>
    <w:next w:val="Normal"/>
    <w:autoRedefine/>
    <w:semiHidden/>
    <w:pPr>
      <w:ind w:left="1920"/>
      <w:jc w:val="left"/>
    </w:pPr>
    <w:rPr>
      <w:rFonts w:ascii="Times New Roman" w:hAnsi="Times New Roman"/>
      <w:szCs w:val="21"/>
    </w:rPr>
  </w:style>
  <w:style w:type="paragraph" w:styleId="Corpsdetexte3">
    <w:name w:val="Body Text 3"/>
    <w:basedOn w:val="Normal"/>
    <w:semiHidden/>
    <w:pPr>
      <w:tabs>
        <w:tab w:val="left" w:pos="3195"/>
      </w:tabs>
      <w:overflowPunct/>
      <w:autoSpaceDE/>
      <w:autoSpaceDN/>
      <w:adjustRightInd/>
      <w:jc w:val="left"/>
      <w:textAlignment w:val="auto"/>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12</Pages>
  <Words>1714</Words>
  <Characters>9433</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Sommaire</vt:lpstr>
    </vt:vector>
  </TitlesOfParts>
  <Company>Home</Company>
  <LinksUpToDate>false</LinksUpToDate>
  <CharactersWithSpaces>11125</CharactersWithSpaces>
  <SharedDoc>false</SharedDoc>
  <HLinks>
    <vt:vector size="276" baseType="variant">
      <vt:variant>
        <vt:i4>4063343</vt:i4>
      </vt:variant>
      <vt:variant>
        <vt:i4>270</vt:i4>
      </vt:variant>
      <vt:variant>
        <vt:i4>0</vt:i4>
      </vt:variant>
      <vt:variant>
        <vt:i4>5</vt:i4>
      </vt:variant>
      <vt:variant>
        <vt:lpwstr>http://www.euroedi.com/</vt:lpwstr>
      </vt:variant>
      <vt:variant>
        <vt:lpwstr/>
      </vt:variant>
      <vt:variant>
        <vt:i4>4653148</vt:i4>
      </vt:variant>
      <vt:variant>
        <vt:i4>267</vt:i4>
      </vt:variant>
      <vt:variant>
        <vt:i4>0</vt:i4>
      </vt:variant>
      <vt:variant>
        <vt:i4>5</vt:i4>
      </vt:variant>
      <vt:variant>
        <vt:lpwstr>http://www.ibm.com/fr</vt:lpwstr>
      </vt:variant>
      <vt:variant>
        <vt:lpwstr/>
      </vt:variant>
      <vt:variant>
        <vt:i4>3997798</vt:i4>
      </vt:variant>
      <vt:variant>
        <vt:i4>264</vt:i4>
      </vt:variant>
      <vt:variant>
        <vt:i4>0</vt:i4>
      </vt:variant>
      <vt:variant>
        <vt:i4>5</vt:i4>
      </vt:variant>
      <vt:variant>
        <vt:lpwstr>http://www.triumph.com/</vt:lpwstr>
      </vt:variant>
      <vt:variant>
        <vt:lpwstr/>
      </vt:variant>
      <vt:variant>
        <vt:i4>1048631</vt:i4>
      </vt:variant>
      <vt:variant>
        <vt:i4>257</vt:i4>
      </vt:variant>
      <vt:variant>
        <vt:i4>0</vt:i4>
      </vt:variant>
      <vt:variant>
        <vt:i4>5</vt:i4>
      </vt:variant>
      <vt:variant>
        <vt:lpwstr/>
      </vt:variant>
      <vt:variant>
        <vt:lpwstr>_Toc75570154</vt:lpwstr>
      </vt:variant>
      <vt:variant>
        <vt:i4>1441847</vt:i4>
      </vt:variant>
      <vt:variant>
        <vt:i4>251</vt:i4>
      </vt:variant>
      <vt:variant>
        <vt:i4>0</vt:i4>
      </vt:variant>
      <vt:variant>
        <vt:i4>5</vt:i4>
      </vt:variant>
      <vt:variant>
        <vt:lpwstr/>
      </vt:variant>
      <vt:variant>
        <vt:lpwstr>_Toc75570152</vt:lpwstr>
      </vt:variant>
      <vt:variant>
        <vt:i4>1376311</vt:i4>
      </vt:variant>
      <vt:variant>
        <vt:i4>245</vt:i4>
      </vt:variant>
      <vt:variant>
        <vt:i4>0</vt:i4>
      </vt:variant>
      <vt:variant>
        <vt:i4>5</vt:i4>
      </vt:variant>
      <vt:variant>
        <vt:lpwstr/>
      </vt:variant>
      <vt:variant>
        <vt:lpwstr>_Toc75570151</vt:lpwstr>
      </vt:variant>
      <vt:variant>
        <vt:i4>1310775</vt:i4>
      </vt:variant>
      <vt:variant>
        <vt:i4>239</vt:i4>
      </vt:variant>
      <vt:variant>
        <vt:i4>0</vt:i4>
      </vt:variant>
      <vt:variant>
        <vt:i4>5</vt:i4>
      </vt:variant>
      <vt:variant>
        <vt:lpwstr/>
      </vt:variant>
      <vt:variant>
        <vt:lpwstr>_Toc75570150</vt:lpwstr>
      </vt:variant>
      <vt:variant>
        <vt:i4>1900598</vt:i4>
      </vt:variant>
      <vt:variant>
        <vt:i4>233</vt:i4>
      </vt:variant>
      <vt:variant>
        <vt:i4>0</vt:i4>
      </vt:variant>
      <vt:variant>
        <vt:i4>5</vt:i4>
      </vt:variant>
      <vt:variant>
        <vt:lpwstr/>
      </vt:variant>
      <vt:variant>
        <vt:lpwstr>_Toc75570149</vt:lpwstr>
      </vt:variant>
      <vt:variant>
        <vt:i4>1835062</vt:i4>
      </vt:variant>
      <vt:variant>
        <vt:i4>227</vt:i4>
      </vt:variant>
      <vt:variant>
        <vt:i4>0</vt:i4>
      </vt:variant>
      <vt:variant>
        <vt:i4>5</vt:i4>
      </vt:variant>
      <vt:variant>
        <vt:lpwstr/>
      </vt:variant>
      <vt:variant>
        <vt:lpwstr>_Toc75570148</vt:lpwstr>
      </vt:variant>
      <vt:variant>
        <vt:i4>1245238</vt:i4>
      </vt:variant>
      <vt:variant>
        <vt:i4>221</vt:i4>
      </vt:variant>
      <vt:variant>
        <vt:i4>0</vt:i4>
      </vt:variant>
      <vt:variant>
        <vt:i4>5</vt:i4>
      </vt:variant>
      <vt:variant>
        <vt:lpwstr/>
      </vt:variant>
      <vt:variant>
        <vt:lpwstr>_Toc75570147</vt:lpwstr>
      </vt:variant>
      <vt:variant>
        <vt:i4>1179702</vt:i4>
      </vt:variant>
      <vt:variant>
        <vt:i4>215</vt:i4>
      </vt:variant>
      <vt:variant>
        <vt:i4>0</vt:i4>
      </vt:variant>
      <vt:variant>
        <vt:i4>5</vt:i4>
      </vt:variant>
      <vt:variant>
        <vt:lpwstr/>
      </vt:variant>
      <vt:variant>
        <vt:lpwstr>_Toc75570146</vt:lpwstr>
      </vt:variant>
      <vt:variant>
        <vt:i4>1114166</vt:i4>
      </vt:variant>
      <vt:variant>
        <vt:i4>209</vt:i4>
      </vt:variant>
      <vt:variant>
        <vt:i4>0</vt:i4>
      </vt:variant>
      <vt:variant>
        <vt:i4>5</vt:i4>
      </vt:variant>
      <vt:variant>
        <vt:lpwstr/>
      </vt:variant>
      <vt:variant>
        <vt:lpwstr>_Toc75570145</vt:lpwstr>
      </vt:variant>
      <vt:variant>
        <vt:i4>1048630</vt:i4>
      </vt:variant>
      <vt:variant>
        <vt:i4>203</vt:i4>
      </vt:variant>
      <vt:variant>
        <vt:i4>0</vt:i4>
      </vt:variant>
      <vt:variant>
        <vt:i4>5</vt:i4>
      </vt:variant>
      <vt:variant>
        <vt:lpwstr/>
      </vt:variant>
      <vt:variant>
        <vt:lpwstr>_Toc75570144</vt:lpwstr>
      </vt:variant>
      <vt:variant>
        <vt:i4>1507382</vt:i4>
      </vt:variant>
      <vt:variant>
        <vt:i4>197</vt:i4>
      </vt:variant>
      <vt:variant>
        <vt:i4>0</vt:i4>
      </vt:variant>
      <vt:variant>
        <vt:i4>5</vt:i4>
      </vt:variant>
      <vt:variant>
        <vt:lpwstr/>
      </vt:variant>
      <vt:variant>
        <vt:lpwstr>_Toc75570143</vt:lpwstr>
      </vt:variant>
      <vt:variant>
        <vt:i4>1441846</vt:i4>
      </vt:variant>
      <vt:variant>
        <vt:i4>191</vt:i4>
      </vt:variant>
      <vt:variant>
        <vt:i4>0</vt:i4>
      </vt:variant>
      <vt:variant>
        <vt:i4>5</vt:i4>
      </vt:variant>
      <vt:variant>
        <vt:lpwstr/>
      </vt:variant>
      <vt:variant>
        <vt:lpwstr>_Toc75570142</vt:lpwstr>
      </vt:variant>
      <vt:variant>
        <vt:i4>1376310</vt:i4>
      </vt:variant>
      <vt:variant>
        <vt:i4>185</vt:i4>
      </vt:variant>
      <vt:variant>
        <vt:i4>0</vt:i4>
      </vt:variant>
      <vt:variant>
        <vt:i4>5</vt:i4>
      </vt:variant>
      <vt:variant>
        <vt:lpwstr/>
      </vt:variant>
      <vt:variant>
        <vt:lpwstr>_Toc75570141</vt:lpwstr>
      </vt:variant>
      <vt:variant>
        <vt:i4>1310774</vt:i4>
      </vt:variant>
      <vt:variant>
        <vt:i4>179</vt:i4>
      </vt:variant>
      <vt:variant>
        <vt:i4>0</vt:i4>
      </vt:variant>
      <vt:variant>
        <vt:i4>5</vt:i4>
      </vt:variant>
      <vt:variant>
        <vt:lpwstr/>
      </vt:variant>
      <vt:variant>
        <vt:lpwstr>_Toc75570140</vt:lpwstr>
      </vt:variant>
      <vt:variant>
        <vt:i4>1900593</vt:i4>
      </vt:variant>
      <vt:variant>
        <vt:i4>173</vt:i4>
      </vt:variant>
      <vt:variant>
        <vt:i4>0</vt:i4>
      </vt:variant>
      <vt:variant>
        <vt:i4>5</vt:i4>
      </vt:variant>
      <vt:variant>
        <vt:lpwstr/>
      </vt:variant>
      <vt:variant>
        <vt:lpwstr>_Toc75570139</vt:lpwstr>
      </vt:variant>
      <vt:variant>
        <vt:i4>1835057</vt:i4>
      </vt:variant>
      <vt:variant>
        <vt:i4>167</vt:i4>
      </vt:variant>
      <vt:variant>
        <vt:i4>0</vt:i4>
      </vt:variant>
      <vt:variant>
        <vt:i4>5</vt:i4>
      </vt:variant>
      <vt:variant>
        <vt:lpwstr/>
      </vt:variant>
      <vt:variant>
        <vt:lpwstr>_Toc75570138</vt:lpwstr>
      </vt:variant>
      <vt:variant>
        <vt:i4>1245233</vt:i4>
      </vt:variant>
      <vt:variant>
        <vt:i4>161</vt:i4>
      </vt:variant>
      <vt:variant>
        <vt:i4>0</vt:i4>
      </vt:variant>
      <vt:variant>
        <vt:i4>5</vt:i4>
      </vt:variant>
      <vt:variant>
        <vt:lpwstr/>
      </vt:variant>
      <vt:variant>
        <vt:lpwstr>_Toc75570137</vt:lpwstr>
      </vt:variant>
      <vt:variant>
        <vt:i4>1835058</vt:i4>
      </vt:variant>
      <vt:variant>
        <vt:i4>152</vt:i4>
      </vt:variant>
      <vt:variant>
        <vt:i4>0</vt:i4>
      </vt:variant>
      <vt:variant>
        <vt:i4>5</vt:i4>
      </vt:variant>
      <vt:variant>
        <vt:lpwstr/>
      </vt:variant>
      <vt:variant>
        <vt:lpwstr>_Toc75570108</vt:lpwstr>
      </vt:variant>
      <vt:variant>
        <vt:i4>1245234</vt:i4>
      </vt:variant>
      <vt:variant>
        <vt:i4>146</vt:i4>
      </vt:variant>
      <vt:variant>
        <vt:i4>0</vt:i4>
      </vt:variant>
      <vt:variant>
        <vt:i4>5</vt:i4>
      </vt:variant>
      <vt:variant>
        <vt:lpwstr/>
      </vt:variant>
      <vt:variant>
        <vt:lpwstr>_Toc75570107</vt:lpwstr>
      </vt:variant>
      <vt:variant>
        <vt:i4>1179698</vt:i4>
      </vt:variant>
      <vt:variant>
        <vt:i4>140</vt:i4>
      </vt:variant>
      <vt:variant>
        <vt:i4>0</vt:i4>
      </vt:variant>
      <vt:variant>
        <vt:i4>5</vt:i4>
      </vt:variant>
      <vt:variant>
        <vt:lpwstr/>
      </vt:variant>
      <vt:variant>
        <vt:lpwstr>_Toc75570106</vt:lpwstr>
      </vt:variant>
      <vt:variant>
        <vt:i4>1114162</vt:i4>
      </vt:variant>
      <vt:variant>
        <vt:i4>134</vt:i4>
      </vt:variant>
      <vt:variant>
        <vt:i4>0</vt:i4>
      </vt:variant>
      <vt:variant>
        <vt:i4>5</vt:i4>
      </vt:variant>
      <vt:variant>
        <vt:lpwstr/>
      </vt:variant>
      <vt:variant>
        <vt:lpwstr>_Toc75570105</vt:lpwstr>
      </vt:variant>
      <vt:variant>
        <vt:i4>1048626</vt:i4>
      </vt:variant>
      <vt:variant>
        <vt:i4>128</vt:i4>
      </vt:variant>
      <vt:variant>
        <vt:i4>0</vt:i4>
      </vt:variant>
      <vt:variant>
        <vt:i4>5</vt:i4>
      </vt:variant>
      <vt:variant>
        <vt:lpwstr/>
      </vt:variant>
      <vt:variant>
        <vt:lpwstr>_Toc75570104</vt:lpwstr>
      </vt:variant>
      <vt:variant>
        <vt:i4>1507378</vt:i4>
      </vt:variant>
      <vt:variant>
        <vt:i4>122</vt:i4>
      </vt:variant>
      <vt:variant>
        <vt:i4>0</vt:i4>
      </vt:variant>
      <vt:variant>
        <vt:i4>5</vt:i4>
      </vt:variant>
      <vt:variant>
        <vt:lpwstr/>
      </vt:variant>
      <vt:variant>
        <vt:lpwstr>_Toc75570103</vt:lpwstr>
      </vt:variant>
      <vt:variant>
        <vt:i4>1441842</vt:i4>
      </vt:variant>
      <vt:variant>
        <vt:i4>116</vt:i4>
      </vt:variant>
      <vt:variant>
        <vt:i4>0</vt:i4>
      </vt:variant>
      <vt:variant>
        <vt:i4>5</vt:i4>
      </vt:variant>
      <vt:variant>
        <vt:lpwstr/>
      </vt:variant>
      <vt:variant>
        <vt:lpwstr>_Toc75570102</vt:lpwstr>
      </vt:variant>
      <vt:variant>
        <vt:i4>1376306</vt:i4>
      </vt:variant>
      <vt:variant>
        <vt:i4>110</vt:i4>
      </vt:variant>
      <vt:variant>
        <vt:i4>0</vt:i4>
      </vt:variant>
      <vt:variant>
        <vt:i4>5</vt:i4>
      </vt:variant>
      <vt:variant>
        <vt:lpwstr/>
      </vt:variant>
      <vt:variant>
        <vt:lpwstr>_Toc75570101</vt:lpwstr>
      </vt:variant>
      <vt:variant>
        <vt:i4>1310770</vt:i4>
      </vt:variant>
      <vt:variant>
        <vt:i4>104</vt:i4>
      </vt:variant>
      <vt:variant>
        <vt:i4>0</vt:i4>
      </vt:variant>
      <vt:variant>
        <vt:i4>5</vt:i4>
      </vt:variant>
      <vt:variant>
        <vt:lpwstr/>
      </vt:variant>
      <vt:variant>
        <vt:lpwstr>_Toc75570100</vt:lpwstr>
      </vt:variant>
      <vt:variant>
        <vt:i4>1835067</vt:i4>
      </vt:variant>
      <vt:variant>
        <vt:i4>98</vt:i4>
      </vt:variant>
      <vt:variant>
        <vt:i4>0</vt:i4>
      </vt:variant>
      <vt:variant>
        <vt:i4>5</vt:i4>
      </vt:variant>
      <vt:variant>
        <vt:lpwstr/>
      </vt:variant>
      <vt:variant>
        <vt:lpwstr>_Toc75570099</vt:lpwstr>
      </vt:variant>
      <vt:variant>
        <vt:i4>1900603</vt:i4>
      </vt:variant>
      <vt:variant>
        <vt:i4>92</vt:i4>
      </vt:variant>
      <vt:variant>
        <vt:i4>0</vt:i4>
      </vt:variant>
      <vt:variant>
        <vt:i4>5</vt:i4>
      </vt:variant>
      <vt:variant>
        <vt:lpwstr/>
      </vt:variant>
      <vt:variant>
        <vt:lpwstr>_Toc75570098</vt:lpwstr>
      </vt:variant>
      <vt:variant>
        <vt:i4>1179707</vt:i4>
      </vt:variant>
      <vt:variant>
        <vt:i4>86</vt:i4>
      </vt:variant>
      <vt:variant>
        <vt:i4>0</vt:i4>
      </vt:variant>
      <vt:variant>
        <vt:i4>5</vt:i4>
      </vt:variant>
      <vt:variant>
        <vt:lpwstr/>
      </vt:variant>
      <vt:variant>
        <vt:lpwstr>_Toc75570097</vt:lpwstr>
      </vt:variant>
      <vt:variant>
        <vt:i4>1245243</vt:i4>
      </vt:variant>
      <vt:variant>
        <vt:i4>80</vt:i4>
      </vt:variant>
      <vt:variant>
        <vt:i4>0</vt:i4>
      </vt:variant>
      <vt:variant>
        <vt:i4>5</vt:i4>
      </vt:variant>
      <vt:variant>
        <vt:lpwstr/>
      </vt:variant>
      <vt:variant>
        <vt:lpwstr>_Toc75570096</vt:lpwstr>
      </vt:variant>
      <vt:variant>
        <vt:i4>1048635</vt:i4>
      </vt:variant>
      <vt:variant>
        <vt:i4>74</vt:i4>
      </vt:variant>
      <vt:variant>
        <vt:i4>0</vt:i4>
      </vt:variant>
      <vt:variant>
        <vt:i4>5</vt:i4>
      </vt:variant>
      <vt:variant>
        <vt:lpwstr/>
      </vt:variant>
      <vt:variant>
        <vt:lpwstr>_Toc75570095</vt:lpwstr>
      </vt:variant>
      <vt:variant>
        <vt:i4>1114171</vt:i4>
      </vt:variant>
      <vt:variant>
        <vt:i4>68</vt:i4>
      </vt:variant>
      <vt:variant>
        <vt:i4>0</vt:i4>
      </vt:variant>
      <vt:variant>
        <vt:i4>5</vt:i4>
      </vt:variant>
      <vt:variant>
        <vt:lpwstr/>
      </vt:variant>
      <vt:variant>
        <vt:lpwstr>_Toc75570094</vt:lpwstr>
      </vt:variant>
      <vt:variant>
        <vt:i4>1441851</vt:i4>
      </vt:variant>
      <vt:variant>
        <vt:i4>62</vt:i4>
      </vt:variant>
      <vt:variant>
        <vt:i4>0</vt:i4>
      </vt:variant>
      <vt:variant>
        <vt:i4>5</vt:i4>
      </vt:variant>
      <vt:variant>
        <vt:lpwstr/>
      </vt:variant>
      <vt:variant>
        <vt:lpwstr>_Toc75570093</vt:lpwstr>
      </vt:variant>
      <vt:variant>
        <vt:i4>1507387</vt:i4>
      </vt:variant>
      <vt:variant>
        <vt:i4>56</vt:i4>
      </vt:variant>
      <vt:variant>
        <vt:i4>0</vt:i4>
      </vt:variant>
      <vt:variant>
        <vt:i4>5</vt:i4>
      </vt:variant>
      <vt:variant>
        <vt:lpwstr/>
      </vt:variant>
      <vt:variant>
        <vt:lpwstr>_Toc75570092</vt:lpwstr>
      </vt:variant>
      <vt:variant>
        <vt:i4>1310779</vt:i4>
      </vt:variant>
      <vt:variant>
        <vt:i4>50</vt:i4>
      </vt:variant>
      <vt:variant>
        <vt:i4>0</vt:i4>
      </vt:variant>
      <vt:variant>
        <vt:i4>5</vt:i4>
      </vt:variant>
      <vt:variant>
        <vt:lpwstr/>
      </vt:variant>
      <vt:variant>
        <vt:lpwstr>_Toc75570091</vt:lpwstr>
      </vt:variant>
      <vt:variant>
        <vt:i4>1376315</vt:i4>
      </vt:variant>
      <vt:variant>
        <vt:i4>44</vt:i4>
      </vt:variant>
      <vt:variant>
        <vt:i4>0</vt:i4>
      </vt:variant>
      <vt:variant>
        <vt:i4>5</vt:i4>
      </vt:variant>
      <vt:variant>
        <vt:lpwstr/>
      </vt:variant>
      <vt:variant>
        <vt:lpwstr>_Toc75570090</vt:lpwstr>
      </vt:variant>
      <vt:variant>
        <vt:i4>1835066</vt:i4>
      </vt:variant>
      <vt:variant>
        <vt:i4>38</vt:i4>
      </vt:variant>
      <vt:variant>
        <vt:i4>0</vt:i4>
      </vt:variant>
      <vt:variant>
        <vt:i4>5</vt:i4>
      </vt:variant>
      <vt:variant>
        <vt:lpwstr/>
      </vt:variant>
      <vt:variant>
        <vt:lpwstr>_Toc75570089</vt:lpwstr>
      </vt:variant>
      <vt:variant>
        <vt:i4>1900602</vt:i4>
      </vt:variant>
      <vt:variant>
        <vt:i4>32</vt:i4>
      </vt:variant>
      <vt:variant>
        <vt:i4>0</vt:i4>
      </vt:variant>
      <vt:variant>
        <vt:i4>5</vt:i4>
      </vt:variant>
      <vt:variant>
        <vt:lpwstr/>
      </vt:variant>
      <vt:variant>
        <vt:lpwstr>_Toc75570088</vt:lpwstr>
      </vt:variant>
      <vt:variant>
        <vt:i4>1179706</vt:i4>
      </vt:variant>
      <vt:variant>
        <vt:i4>26</vt:i4>
      </vt:variant>
      <vt:variant>
        <vt:i4>0</vt:i4>
      </vt:variant>
      <vt:variant>
        <vt:i4>5</vt:i4>
      </vt:variant>
      <vt:variant>
        <vt:lpwstr/>
      </vt:variant>
      <vt:variant>
        <vt:lpwstr>_Toc75570087</vt:lpwstr>
      </vt:variant>
      <vt:variant>
        <vt:i4>1245242</vt:i4>
      </vt:variant>
      <vt:variant>
        <vt:i4>20</vt:i4>
      </vt:variant>
      <vt:variant>
        <vt:i4>0</vt:i4>
      </vt:variant>
      <vt:variant>
        <vt:i4>5</vt:i4>
      </vt:variant>
      <vt:variant>
        <vt:lpwstr/>
      </vt:variant>
      <vt:variant>
        <vt:lpwstr>_Toc75570086</vt:lpwstr>
      </vt:variant>
      <vt:variant>
        <vt:i4>1048634</vt:i4>
      </vt:variant>
      <vt:variant>
        <vt:i4>14</vt:i4>
      </vt:variant>
      <vt:variant>
        <vt:i4>0</vt:i4>
      </vt:variant>
      <vt:variant>
        <vt:i4>5</vt:i4>
      </vt:variant>
      <vt:variant>
        <vt:lpwstr/>
      </vt:variant>
      <vt:variant>
        <vt:lpwstr>_Toc75570085</vt:lpwstr>
      </vt:variant>
      <vt:variant>
        <vt:i4>1114170</vt:i4>
      </vt:variant>
      <vt:variant>
        <vt:i4>8</vt:i4>
      </vt:variant>
      <vt:variant>
        <vt:i4>0</vt:i4>
      </vt:variant>
      <vt:variant>
        <vt:i4>5</vt:i4>
      </vt:variant>
      <vt:variant>
        <vt:lpwstr/>
      </vt:variant>
      <vt:variant>
        <vt:lpwstr>_Toc75570084</vt:lpwstr>
      </vt:variant>
      <vt:variant>
        <vt:i4>1441850</vt:i4>
      </vt:variant>
      <vt:variant>
        <vt:i4>2</vt:i4>
      </vt:variant>
      <vt:variant>
        <vt:i4>0</vt:i4>
      </vt:variant>
      <vt:variant>
        <vt:i4>5</vt:i4>
      </vt:variant>
      <vt:variant>
        <vt:lpwstr/>
      </vt:variant>
      <vt:variant>
        <vt:lpwstr>_Toc75570083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Patrick</dc:creator>
  <cp:lastModifiedBy>moi</cp:lastModifiedBy>
  <cp:revision>3</cp:revision>
  <cp:lastPrinted>2004-06-20T10:10:00Z</cp:lastPrinted>
  <dcterms:created xsi:type="dcterms:W3CDTF">2018-04-19T07:21:00Z</dcterms:created>
  <dcterms:modified xsi:type="dcterms:W3CDTF">2018-04-19T07:42:00Z</dcterms:modified>
</cp:coreProperties>
</file>